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81" w:rsidRDefault="00F860EB" w:rsidP="00CA4481">
      <w:pPr>
        <w:jc w:val="center"/>
        <w:rPr>
          <w:b/>
        </w:rPr>
      </w:pPr>
      <w:r>
        <w:rPr>
          <w:b/>
        </w:rPr>
        <w:t xml:space="preserve">KOOSTÖÖ- JA </w:t>
      </w:r>
      <w:r w:rsidR="00CA4481" w:rsidRPr="00D72E34">
        <w:rPr>
          <w:b/>
        </w:rPr>
        <w:t>TÖÖVÕTULEPING</w:t>
      </w:r>
    </w:p>
    <w:p w:rsidR="00D72E34" w:rsidRPr="00D72E34" w:rsidRDefault="00D72E34" w:rsidP="00CA4481">
      <w:pPr>
        <w:jc w:val="center"/>
        <w:rPr>
          <w:b/>
        </w:rPr>
      </w:pPr>
      <w:r>
        <w:rPr>
          <w:b/>
        </w:rPr>
        <w:t xml:space="preserve">Tartu linna </w:t>
      </w:r>
      <w:r w:rsidR="006657BA">
        <w:rPr>
          <w:b/>
        </w:rPr>
        <w:t>arengustrateegia</w:t>
      </w:r>
      <w:r>
        <w:rPr>
          <w:b/>
        </w:rPr>
        <w:t xml:space="preserve"> „Visioon 2040“</w:t>
      </w:r>
      <w:r w:rsidR="005C6088">
        <w:rPr>
          <w:b/>
        </w:rPr>
        <w:t xml:space="preserve"> vajalike lähtematerjalide koostamiseks</w:t>
      </w:r>
      <w:r>
        <w:rPr>
          <w:b/>
        </w:rPr>
        <w:t xml:space="preserve"> </w:t>
      </w:r>
    </w:p>
    <w:p w:rsidR="00CA4481" w:rsidRDefault="00CA4481" w:rsidP="00CA4481">
      <w:pPr>
        <w:jc w:val="center"/>
      </w:pPr>
    </w:p>
    <w:p w:rsidR="00CA4481" w:rsidRDefault="00CA4481" w:rsidP="00CA4481">
      <w:pPr>
        <w:jc w:val="both"/>
      </w:pPr>
      <w:r>
        <w:t xml:space="preserve">Arvestades asjaolu, et </w:t>
      </w:r>
    </w:p>
    <w:p w:rsidR="00CA4481" w:rsidRDefault="00CA4481" w:rsidP="00CA4481">
      <w:pPr>
        <w:pStyle w:val="Loendilik"/>
        <w:numPr>
          <w:ilvl w:val="0"/>
          <w:numId w:val="1"/>
        </w:numPr>
        <w:jc w:val="both"/>
      </w:pPr>
      <w:r>
        <w:t>Tartu Ülikool on Tartu linna kujunemisel täitnud olulist rolli ning Tartu Ülikoolist lähtub oluliselt Tartu linna nägu ja tulevased arengutendentsid;</w:t>
      </w:r>
    </w:p>
    <w:p w:rsidR="00CA4481" w:rsidRDefault="00CA4481" w:rsidP="00CA4481">
      <w:pPr>
        <w:pStyle w:val="Loendilik"/>
        <w:numPr>
          <w:ilvl w:val="0"/>
          <w:numId w:val="1"/>
        </w:numPr>
        <w:jc w:val="both"/>
      </w:pPr>
      <w:r>
        <w:t>Tartu Ülikool on Tartu linna olulisim koostööpartner linnaelu edendamise ning Tartu linn peab tulevikuplaanide seadmisel oluliseks Tartu Ülikooli teadlaste kaasamist linna strateegilise arengu kavandamisel;</w:t>
      </w:r>
    </w:p>
    <w:p w:rsidR="00CA4481" w:rsidRDefault="00CA4481" w:rsidP="00CA4481">
      <w:pPr>
        <w:pStyle w:val="Loendilik"/>
        <w:numPr>
          <w:ilvl w:val="0"/>
          <w:numId w:val="1"/>
        </w:numPr>
        <w:jc w:val="both"/>
      </w:pPr>
      <w:r>
        <w:t>Tartu linn hindab kõrgelt Tartu Ülikooli teadlaste teadmisi kaasaaegsete Tarkade linnade strateegiadokumentide koostamise metodoloogiast</w:t>
      </w:r>
      <w:r w:rsidR="00D72E34">
        <w:t xml:space="preserve"> ning peab oluliseks just Tartu teadlaste oskusteabe rakendamist kodulinna tarbeks</w:t>
      </w:r>
      <w:r>
        <w:t>;</w:t>
      </w:r>
    </w:p>
    <w:p w:rsidR="00A15393" w:rsidRDefault="00CA4481" w:rsidP="00A15393">
      <w:pPr>
        <w:pStyle w:val="Loendilik"/>
        <w:numPr>
          <w:ilvl w:val="0"/>
          <w:numId w:val="1"/>
        </w:numPr>
        <w:jc w:val="both"/>
      </w:pPr>
      <w:r>
        <w:t>Tartu linn ja Tartu Ülikool on sõlminud 2010. a koostöölepingu ühiste koostöösuundade ko</w:t>
      </w:r>
      <w:r w:rsidR="00A15393">
        <w:t>kku leppimiseks;</w:t>
      </w:r>
    </w:p>
    <w:p w:rsidR="00A15393" w:rsidRDefault="00A15393" w:rsidP="00A15393">
      <w:pPr>
        <w:pStyle w:val="Loendilik"/>
        <w:numPr>
          <w:ilvl w:val="0"/>
          <w:numId w:val="1"/>
        </w:numPr>
        <w:jc w:val="both"/>
      </w:pPr>
      <w:r>
        <w:t>T</w:t>
      </w:r>
      <w:r w:rsidR="00D72E34">
        <w:t>artu Linnavolikogu on 24. mai 2018. a otsusega nr 86 algatanud Tartu Targa Linna visioonistrateegia koostamise ning 06. detsembri 2018. a otsusega 121 Arengustrateegia „Visioon 2040“ koostamise</w:t>
      </w:r>
      <w:r w:rsidR="002472EA">
        <w:t>;</w:t>
      </w:r>
    </w:p>
    <w:p w:rsidR="002472EA" w:rsidRDefault="002472EA" w:rsidP="002472EA">
      <w:pPr>
        <w:pStyle w:val="Loendilik"/>
        <w:numPr>
          <w:ilvl w:val="0"/>
          <w:numId w:val="1"/>
        </w:numPr>
        <w:ind w:left="708" w:hanging="348"/>
        <w:jc w:val="both"/>
      </w:pPr>
      <w:r>
        <w:t>Tartu Linnavalitsus on otsustanud edasi minna ühe dokumendi arengustrateegia „Visioon 2040“ koostamisega, milles lähtutakse Tartu Targa Linna visioonistrateegia koostamise metoodikast</w:t>
      </w:r>
    </w:p>
    <w:p w:rsidR="00D72E34" w:rsidRDefault="00D72E34" w:rsidP="00D72E34">
      <w:pPr>
        <w:jc w:val="both"/>
      </w:pPr>
      <w:r>
        <w:t>leppisid Tartu linn, mida esindab Tartu Linnavalitsuse … detsembri 2019. a korralduse alusel …..</w:t>
      </w:r>
      <w:r w:rsidR="005C6088">
        <w:t xml:space="preserve"> (edaspidi Linn ehk Tellija)</w:t>
      </w:r>
      <w:r>
        <w:t xml:space="preserve"> ja Tartu Ülikool, mida esindab ………….</w:t>
      </w:r>
      <w:r w:rsidR="005C6088">
        <w:t xml:space="preserve"> (edaspidi Ülikool ehk Töövõtja)</w:t>
      </w:r>
      <w:r>
        <w:t xml:space="preserve"> kokku alljärgnevas:</w:t>
      </w:r>
    </w:p>
    <w:p w:rsidR="00D72E34" w:rsidRPr="005C6088" w:rsidRDefault="00463FD4" w:rsidP="005C6088">
      <w:pPr>
        <w:pStyle w:val="Loendilik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Käesoleva l</w:t>
      </w:r>
      <w:r w:rsidR="005C6088" w:rsidRPr="005C6088">
        <w:rPr>
          <w:rFonts w:cstheme="minorHAnsi"/>
        </w:rPr>
        <w:t>epingu täitmisel kohustub Ülikool lähtuma järgmistest materjalidest:</w:t>
      </w:r>
    </w:p>
    <w:p w:rsidR="005C6088" w:rsidRPr="005C6088" w:rsidRDefault="005C6088" w:rsidP="00D72E34">
      <w:pPr>
        <w:pStyle w:val="Loendilik"/>
        <w:numPr>
          <w:ilvl w:val="1"/>
          <w:numId w:val="2"/>
        </w:numPr>
        <w:jc w:val="both"/>
        <w:rPr>
          <w:rFonts w:cstheme="minorHAnsi"/>
        </w:rPr>
      </w:pPr>
      <w:r w:rsidRPr="005C608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Tartu Targa Linna</w:t>
      </w:r>
      <w:r w:rsidRPr="005C608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visiooni</w:t>
      </w:r>
      <w:r w:rsidR="0015028D">
        <w:rPr>
          <w:rFonts w:cstheme="minorHAnsi"/>
          <w:color w:val="000000"/>
        </w:rPr>
        <w:t>strateegia projekt</w:t>
      </w:r>
      <w:r w:rsidRPr="005C6088">
        <w:rPr>
          <w:rFonts w:cstheme="minorHAnsi"/>
          <w:color w:val="000000"/>
        </w:rPr>
        <w:t>;</w:t>
      </w:r>
    </w:p>
    <w:p w:rsidR="00D72E34" w:rsidRPr="005C6088" w:rsidRDefault="005C6088" w:rsidP="00D72E34">
      <w:pPr>
        <w:pStyle w:val="Loendilik"/>
        <w:numPr>
          <w:ilvl w:val="1"/>
          <w:numId w:val="2"/>
        </w:numPr>
        <w:jc w:val="both"/>
        <w:rPr>
          <w:rFonts w:cstheme="minorHAnsi"/>
        </w:rPr>
      </w:pPr>
      <w:r w:rsidRPr="005C6088">
        <w:rPr>
          <w:rFonts w:cstheme="minorHAnsi"/>
          <w:color w:val="000000"/>
        </w:rPr>
        <w:t xml:space="preserve"> Tartu </w:t>
      </w:r>
      <w:r w:rsidRPr="005C6088">
        <w:rPr>
          <w:rFonts w:cstheme="minorHAnsi"/>
          <w:color w:val="000000"/>
          <w:sz w:val="24"/>
          <w:szCs w:val="24"/>
        </w:rPr>
        <w:t xml:space="preserve">Euroopa kultuuripealinnaks kandideerimiseks </w:t>
      </w:r>
      <w:r w:rsidR="0015028D">
        <w:rPr>
          <w:rFonts w:cstheme="minorHAnsi"/>
          <w:color w:val="000000"/>
          <w:sz w:val="24"/>
          <w:szCs w:val="24"/>
        </w:rPr>
        <w:t>koostatud kandideerimisraamat</w:t>
      </w:r>
      <w:r w:rsidRPr="005C6088">
        <w:rPr>
          <w:rFonts w:cstheme="minorHAnsi"/>
          <w:color w:val="000000"/>
          <w:sz w:val="24"/>
          <w:szCs w:val="24"/>
        </w:rPr>
        <w:t xml:space="preserve"> "Ellujäämise kunstid" ("Arts of Survival")</w:t>
      </w:r>
      <w:r>
        <w:rPr>
          <w:rFonts w:cstheme="minorHAnsi"/>
          <w:color w:val="000000"/>
          <w:sz w:val="24"/>
          <w:szCs w:val="24"/>
        </w:rPr>
        <w:t>;</w:t>
      </w:r>
    </w:p>
    <w:p w:rsidR="005C6088" w:rsidRPr="005C6088" w:rsidRDefault="005C6088" w:rsidP="00D72E34">
      <w:pPr>
        <w:pStyle w:val="Loendilik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  <w:color w:val="000000"/>
          <w:sz w:val="24"/>
          <w:szCs w:val="24"/>
        </w:rPr>
        <w:t>Tartu linna energia- ja kliimakava</w:t>
      </w:r>
      <w:r w:rsidR="0015028D">
        <w:rPr>
          <w:rFonts w:cstheme="minorHAnsi"/>
          <w:color w:val="000000"/>
          <w:sz w:val="24"/>
          <w:szCs w:val="24"/>
        </w:rPr>
        <w:t xml:space="preserve"> „Tartu energia 2030“ projekt</w:t>
      </w:r>
      <w:r>
        <w:rPr>
          <w:rFonts w:cstheme="minorHAnsi"/>
          <w:color w:val="000000"/>
          <w:sz w:val="24"/>
          <w:szCs w:val="24"/>
        </w:rPr>
        <w:t>;</w:t>
      </w:r>
    </w:p>
    <w:p w:rsidR="005C6088" w:rsidRDefault="0015028D" w:rsidP="00D72E34">
      <w:pPr>
        <w:pStyle w:val="Loendilik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Tartu linna arengustrateegia</w:t>
      </w:r>
      <w:r w:rsidR="005C6088">
        <w:rPr>
          <w:rFonts w:cstheme="minorHAnsi"/>
        </w:rPr>
        <w:t xml:space="preserve"> 2030 ja selle kohta koostatud „Arengustra</w:t>
      </w:r>
      <w:r>
        <w:rPr>
          <w:rFonts w:cstheme="minorHAnsi"/>
        </w:rPr>
        <w:t>teegia Tartu 2030 mõjuanalüüs</w:t>
      </w:r>
      <w:r w:rsidR="005C6088">
        <w:rPr>
          <w:rFonts w:cstheme="minorHAnsi"/>
        </w:rPr>
        <w:t>“;</w:t>
      </w:r>
    </w:p>
    <w:p w:rsidR="005C6088" w:rsidRDefault="005C6088" w:rsidP="00D72E34">
      <w:pPr>
        <w:pStyle w:val="Loendilik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 St</w:t>
      </w:r>
      <w:r w:rsidR="0015028D">
        <w:rPr>
          <w:rFonts w:cstheme="minorHAnsi"/>
        </w:rPr>
        <w:t>rateegia „Eesti 2035“ projekt</w:t>
      </w:r>
      <w:r>
        <w:rPr>
          <w:rFonts w:cstheme="minorHAnsi"/>
        </w:rPr>
        <w:t>.</w:t>
      </w:r>
    </w:p>
    <w:p w:rsidR="005C6088" w:rsidRPr="005C6088" w:rsidRDefault="005C6088" w:rsidP="005C6088">
      <w:pPr>
        <w:pStyle w:val="Loendilik"/>
        <w:jc w:val="both"/>
        <w:rPr>
          <w:rFonts w:cstheme="minorHAnsi"/>
        </w:rPr>
      </w:pPr>
    </w:p>
    <w:p w:rsidR="005C6088" w:rsidRDefault="005C6088" w:rsidP="005C6088">
      <w:pPr>
        <w:pStyle w:val="Loendilik"/>
        <w:numPr>
          <w:ilvl w:val="0"/>
          <w:numId w:val="2"/>
        </w:numPr>
        <w:jc w:val="both"/>
        <w:rPr>
          <w:rFonts w:cstheme="minorHAnsi"/>
        </w:rPr>
      </w:pPr>
      <w:r w:rsidRPr="005C6088">
        <w:rPr>
          <w:rFonts w:cstheme="minorHAnsi"/>
        </w:rPr>
        <w:t>Linn teeb Ülikoolile punkti 1 alapunktides 1.1.-1.4. nimetatud materjalid viimases olemasolevas versioonis kättesaadavaks ……………</w:t>
      </w:r>
    </w:p>
    <w:p w:rsidR="005C6088" w:rsidRDefault="005C6088" w:rsidP="005C6088">
      <w:pPr>
        <w:pStyle w:val="Loendilik"/>
        <w:jc w:val="both"/>
        <w:rPr>
          <w:rFonts w:cstheme="minorHAnsi"/>
        </w:rPr>
      </w:pPr>
    </w:p>
    <w:p w:rsidR="005C6088" w:rsidRDefault="00A61BA8" w:rsidP="005C6088">
      <w:pPr>
        <w:pStyle w:val="Loendilik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Ülikool kohustub </w:t>
      </w:r>
      <w:r w:rsidR="002472EA">
        <w:t>arengustrateegia</w:t>
      </w:r>
      <w:r w:rsidRPr="00A61BA8">
        <w:t xml:space="preserve"> „Visioon 2040“ vajalike lähtematerjalide koostamiseks</w:t>
      </w:r>
      <w:r>
        <w:t xml:space="preserve"> </w:t>
      </w:r>
      <w:r w:rsidR="00F860EB">
        <w:t xml:space="preserve">oma parimast erialateadmisest lähtuvalt iseseisvalt ja erapooletult </w:t>
      </w:r>
      <w:r>
        <w:t>analüüsima punktis 1 nimetatud materjale, sh tuleb analüüsida „</w:t>
      </w:r>
      <w:r>
        <w:rPr>
          <w:rFonts w:cstheme="minorHAnsi"/>
        </w:rPr>
        <w:t xml:space="preserve">Arengustrateegia Tartu 2030 mõjuanalüüsis“ välja toodud valdkonnasiseseid dilemmasid. </w:t>
      </w:r>
      <w:r w:rsidR="002472EA">
        <w:rPr>
          <w:rFonts w:cstheme="minorHAnsi"/>
        </w:rPr>
        <w:t xml:space="preserve">Analüüsi ja arengustrateegia </w:t>
      </w:r>
      <w:r>
        <w:rPr>
          <w:rFonts w:cstheme="minorHAnsi"/>
        </w:rPr>
        <w:t>„Visioon 2040“ lähtematerjalide koostamisel tuleb metoodiliseks ja sisuliseks aluseks võtta Tartu Targa Linna visioonistrateegia ülesehitus kolmel tasandil – visioon, missio</w:t>
      </w:r>
      <w:r w:rsidR="00A66AFA">
        <w:rPr>
          <w:rFonts w:cstheme="minorHAnsi"/>
        </w:rPr>
        <w:t>on ja eesmärgid (VMOST lähenemine</w:t>
      </w:r>
      <w:r>
        <w:rPr>
          <w:rFonts w:cstheme="minorHAnsi"/>
        </w:rPr>
        <w:t>). Analüüsi tulemusena tuleb</w:t>
      </w:r>
      <w:r w:rsidR="00A66AFA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:rsidR="00A61BA8" w:rsidRDefault="00A61BA8" w:rsidP="00A61BA8">
      <w:pPr>
        <w:pStyle w:val="Loendilik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A66AFA">
        <w:rPr>
          <w:rFonts w:cstheme="minorHAnsi"/>
        </w:rPr>
        <w:t xml:space="preserve">esitada </w:t>
      </w:r>
      <w:r>
        <w:rPr>
          <w:rFonts w:cstheme="minorHAnsi"/>
        </w:rPr>
        <w:t>punktis 1 nimetatud m</w:t>
      </w:r>
      <w:r w:rsidR="00A66AFA">
        <w:rPr>
          <w:rFonts w:cstheme="minorHAnsi"/>
        </w:rPr>
        <w:t>aterjalidest olulisema ja järelduva kokkuvõte (</w:t>
      </w:r>
      <w:r w:rsidR="00850BD6">
        <w:rPr>
          <w:rFonts w:cstheme="minorHAnsi"/>
        </w:rPr>
        <w:t>…</w:t>
      </w:r>
      <w:r w:rsidR="00BE6E0E">
        <w:rPr>
          <w:rFonts w:cstheme="minorHAnsi"/>
        </w:rPr>
        <w:t>..</w:t>
      </w:r>
      <w:bookmarkStart w:id="0" w:name="_GoBack"/>
      <w:bookmarkEnd w:id="0"/>
      <w:r w:rsidR="00850BD6">
        <w:rPr>
          <w:rFonts w:cstheme="minorHAnsi"/>
        </w:rPr>
        <w:t>…….</w:t>
      </w:r>
      <w:r w:rsidR="00A66AFA">
        <w:rPr>
          <w:rFonts w:cstheme="minorHAnsi"/>
        </w:rPr>
        <w:t xml:space="preserve"> 2020)</w:t>
      </w:r>
      <w:r>
        <w:rPr>
          <w:rFonts w:cstheme="minorHAnsi"/>
        </w:rPr>
        <w:t>;</w:t>
      </w:r>
    </w:p>
    <w:p w:rsidR="00A61BA8" w:rsidRPr="00A66AFA" w:rsidRDefault="00A61BA8" w:rsidP="00A61BA8">
      <w:pPr>
        <w:pStyle w:val="Loendilik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="00A66AFA">
        <w:rPr>
          <w:rFonts w:cstheme="minorHAnsi"/>
        </w:rPr>
        <w:t xml:space="preserve">koostada </w:t>
      </w:r>
      <w:r w:rsidR="002472EA">
        <w:t>arengustrateegia</w:t>
      </w:r>
      <w:r w:rsidR="002472EA" w:rsidRPr="00A61BA8">
        <w:t xml:space="preserve"> „Visioon 2040“</w:t>
      </w:r>
      <w:r w:rsidR="00B3634E">
        <w:t xml:space="preserve"> atraktiivse esitamise (st visuaalse disaini) ko</w:t>
      </w:r>
      <w:r w:rsidR="00A66AFA">
        <w:t xml:space="preserve">olituse </w:t>
      </w:r>
      <w:r w:rsidR="00F860EB">
        <w:t xml:space="preserve">tellimiseks </w:t>
      </w:r>
      <w:r w:rsidR="00A66AFA">
        <w:t>lähteülesande</w:t>
      </w:r>
      <w:r w:rsidR="00B3634E">
        <w:t xml:space="preserve"> (koolituse sihtgrupp on 20 inimest)</w:t>
      </w:r>
      <w:r w:rsidR="0015028D">
        <w:t xml:space="preserve"> (</w:t>
      </w:r>
      <w:r w:rsidR="00850BD6">
        <w:t xml:space="preserve">………… </w:t>
      </w:r>
      <w:r w:rsidR="0015028D">
        <w:t>2020)</w:t>
      </w:r>
      <w:r w:rsidR="00B3634E">
        <w:t>. Arengustrateegia „Visioon 2040“ lõppdokument koostatakse veebiväljaandena</w:t>
      </w:r>
      <w:r w:rsidR="0015028D">
        <w:t>;</w:t>
      </w:r>
    </w:p>
    <w:p w:rsidR="00A66AFA" w:rsidRPr="00E7338B" w:rsidRDefault="00A66AFA" w:rsidP="00A61BA8">
      <w:pPr>
        <w:pStyle w:val="Loendilik"/>
        <w:numPr>
          <w:ilvl w:val="1"/>
          <w:numId w:val="2"/>
        </w:numPr>
        <w:jc w:val="both"/>
        <w:rPr>
          <w:rFonts w:cstheme="minorHAnsi"/>
        </w:rPr>
      </w:pPr>
      <w:r>
        <w:t xml:space="preserve"> välja töötada arengustrateegia „Visioon 2040“</w:t>
      </w:r>
      <w:r w:rsidR="00E7338B">
        <w:t xml:space="preserve"> koostamise nägemus (sh struktuur, põhilised märksõnad) ja kooskõlastada see linnaga (</w:t>
      </w:r>
      <w:r w:rsidR="00850BD6">
        <w:t xml:space="preserve">………… </w:t>
      </w:r>
      <w:r w:rsidR="00E7338B">
        <w:t xml:space="preserve"> 2020);</w:t>
      </w:r>
    </w:p>
    <w:p w:rsidR="00E7338B" w:rsidRPr="00E7338B" w:rsidRDefault="00E7338B" w:rsidP="00A61BA8">
      <w:pPr>
        <w:pStyle w:val="Loendilik"/>
        <w:numPr>
          <w:ilvl w:val="1"/>
          <w:numId w:val="2"/>
        </w:numPr>
        <w:jc w:val="both"/>
        <w:rPr>
          <w:rFonts w:cstheme="minorHAnsi"/>
        </w:rPr>
      </w:pPr>
      <w:r>
        <w:t>välja töötada arengustrateegia „Visioon 2040“ eesmärkide saavutamise hindamise mõõdikud (</w:t>
      </w:r>
      <w:r w:rsidR="00850BD6">
        <w:t xml:space="preserve">…………... </w:t>
      </w:r>
      <w:r>
        <w:t xml:space="preserve"> 2020);</w:t>
      </w:r>
    </w:p>
    <w:p w:rsidR="00CC3521" w:rsidRPr="00850BD6" w:rsidRDefault="00E7338B" w:rsidP="00CC3521">
      <w:pPr>
        <w:pStyle w:val="Loendilik"/>
        <w:numPr>
          <w:ilvl w:val="1"/>
          <w:numId w:val="2"/>
        </w:numPr>
        <w:jc w:val="both"/>
        <w:rPr>
          <w:rFonts w:cstheme="minorHAnsi"/>
        </w:rPr>
      </w:pPr>
      <w:r>
        <w:t xml:space="preserve">koostada arengustrateegia „Visioon 2040“ konsolideeritud ja mõõdikutega varustatud </w:t>
      </w:r>
      <w:r w:rsidR="00850BD6">
        <w:t>projekt</w:t>
      </w:r>
      <w:r>
        <w:t xml:space="preserve"> ja kooskõlasta</w:t>
      </w:r>
      <w:r w:rsidR="00F860EB">
        <w:t>da see linnaga (</w:t>
      </w:r>
      <w:r w:rsidR="00850BD6">
        <w:t xml:space="preserve">………… </w:t>
      </w:r>
      <w:r w:rsidR="00F860EB">
        <w:t xml:space="preserve"> 2020);</w:t>
      </w:r>
    </w:p>
    <w:p w:rsidR="00850BD6" w:rsidRPr="00F860EB" w:rsidRDefault="00850BD6" w:rsidP="00CC3521">
      <w:pPr>
        <w:pStyle w:val="Loendilik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pärast projekti kinnitamist linna poolt ning arvestades sellele järgneva avaliku väljapaneku ja  arutelu tulemusi, esitada arengustrateegia „Visioon 2040“ lõppversioon (………….  2020);</w:t>
      </w:r>
    </w:p>
    <w:p w:rsidR="00F860EB" w:rsidRPr="00CC3521" w:rsidRDefault="00F860EB" w:rsidP="00CC3521">
      <w:pPr>
        <w:pStyle w:val="Loendilik"/>
        <w:numPr>
          <w:ilvl w:val="1"/>
          <w:numId w:val="2"/>
        </w:numPr>
        <w:jc w:val="both"/>
        <w:rPr>
          <w:rFonts w:cstheme="minorHAnsi"/>
        </w:rPr>
      </w:pPr>
      <w:r>
        <w:t xml:space="preserve"> koostada arengustrateegia „Visioon 2040“ visuaalse disaini tellimiseks lähteülesanne</w:t>
      </w:r>
      <w:r w:rsidR="00850BD6">
        <w:t xml:space="preserve"> </w:t>
      </w:r>
      <w:r w:rsidR="00463FD4">
        <w:t>(</w:t>
      </w:r>
      <w:r w:rsidR="00850BD6">
        <w:t>…….</w:t>
      </w:r>
      <w:r w:rsidR="00463FD4">
        <w:t>………..)</w:t>
      </w:r>
      <w:r>
        <w:t>.</w:t>
      </w:r>
    </w:p>
    <w:p w:rsidR="00CC3521" w:rsidRDefault="00CC3521" w:rsidP="00CC3521">
      <w:pPr>
        <w:pStyle w:val="Loendilik"/>
        <w:jc w:val="both"/>
      </w:pPr>
    </w:p>
    <w:p w:rsidR="00CC3521" w:rsidRPr="00F860EB" w:rsidRDefault="00CC3521" w:rsidP="00CC3521">
      <w:pPr>
        <w:pStyle w:val="Loendilik"/>
        <w:numPr>
          <w:ilvl w:val="0"/>
          <w:numId w:val="2"/>
        </w:numPr>
        <w:jc w:val="both"/>
        <w:rPr>
          <w:rFonts w:cstheme="minorHAnsi"/>
        </w:rPr>
      </w:pPr>
      <w:r>
        <w:t>Lisaks punktis 3 sätestatule kohustub Ülikool osalema arengustrateegia „Visioon 2040“ lõppversiooni esitlemisel ja tutvustamisel Linna vastavatele töörühmadele perioodil november 2020 kuni aprill 2021. a.</w:t>
      </w:r>
    </w:p>
    <w:p w:rsidR="00F860EB" w:rsidRPr="00F860EB" w:rsidRDefault="00F860EB" w:rsidP="00F860EB">
      <w:pPr>
        <w:pStyle w:val="Loendilik"/>
        <w:jc w:val="both"/>
        <w:rPr>
          <w:rFonts w:cstheme="minorHAnsi"/>
        </w:rPr>
      </w:pPr>
    </w:p>
    <w:p w:rsidR="00F860EB" w:rsidRPr="00F860EB" w:rsidRDefault="00F860EB" w:rsidP="00F860EB">
      <w:pPr>
        <w:pStyle w:val="Loendilik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Ülikoolil on õigus:</w:t>
      </w:r>
    </w:p>
    <w:p w:rsidR="00F860EB" w:rsidRPr="00F860EB" w:rsidRDefault="00F860EB" w:rsidP="00F860EB">
      <w:pPr>
        <w:pStyle w:val="Loendilik"/>
        <w:numPr>
          <w:ilvl w:val="1"/>
          <w:numId w:val="2"/>
        </w:numPr>
        <w:jc w:val="both"/>
        <w:rPr>
          <w:rFonts w:cstheme="minorHAnsi"/>
        </w:rPr>
      </w:pPr>
      <w:r w:rsidRPr="00F860EB">
        <w:rPr>
          <w:rFonts w:cstheme="minorHAnsi"/>
        </w:rPr>
        <w:t>saada Linnalt töö tegemiseks vajalikku informatsiooni ja juhiseid;</w:t>
      </w:r>
    </w:p>
    <w:p w:rsidR="00F860EB" w:rsidRPr="00F860EB" w:rsidRDefault="00F860EB" w:rsidP="00F860EB">
      <w:pPr>
        <w:pStyle w:val="Loendilik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 osaleda Linna tellitud arengustrateegia „Visioon 2040“ atraktiivse esitamise koolitusel kuni … inimesega</w:t>
      </w:r>
      <w:r w:rsidR="00463FD4">
        <w:rPr>
          <w:rFonts w:cstheme="minorHAnsi"/>
        </w:rPr>
        <w:t>.</w:t>
      </w:r>
    </w:p>
    <w:p w:rsidR="00CC3521" w:rsidRPr="00CC3521" w:rsidRDefault="00CC3521" w:rsidP="00CC3521">
      <w:pPr>
        <w:pStyle w:val="Loendilik"/>
        <w:jc w:val="both"/>
        <w:rPr>
          <w:rFonts w:cstheme="minorHAnsi"/>
        </w:rPr>
      </w:pPr>
    </w:p>
    <w:p w:rsidR="00CC3521" w:rsidRPr="00CC3521" w:rsidRDefault="00CC3521" w:rsidP="00CC3521">
      <w:pPr>
        <w:pStyle w:val="Loendilik"/>
        <w:numPr>
          <w:ilvl w:val="0"/>
          <w:numId w:val="2"/>
        </w:numPr>
        <w:jc w:val="both"/>
        <w:rPr>
          <w:rFonts w:cstheme="minorHAnsi"/>
        </w:rPr>
      </w:pPr>
      <w:r>
        <w:t>Punktis 3 ja 4 nimetatud kohustuste täitmise eest tasub Linn Ülikoolile kokku 15 840 eurot järgmiselt:</w:t>
      </w:r>
    </w:p>
    <w:p w:rsidR="00CC3521" w:rsidRPr="00CC3521" w:rsidRDefault="00850BD6" w:rsidP="00CC3521">
      <w:pPr>
        <w:pStyle w:val="Loendilik"/>
        <w:numPr>
          <w:ilvl w:val="1"/>
          <w:numId w:val="2"/>
        </w:numPr>
        <w:jc w:val="both"/>
        <w:rPr>
          <w:rFonts w:cstheme="minorHAnsi"/>
        </w:rPr>
      </w:pPr>
      <w:r>
        <w:t xml:space="preserve"> </w:t>
      </w:r>
      <w:r w:rsidR="00CC3521">
        <w:t>… eurot pärast p … nimetatu Linnale üleandmist</w:t>
      </w:r>
    </w:p>
    <w:p w:rsidR="00CC3521" w:rsidRPr="00CC3521" w:rsidRDefault="00CC3521" w:rsidP="00CC3521">
      <w:pPr>
        <w:pStyle w:val="Loendilik"/>
        <w:numPr>
          <w:ilvl w:val="1"/>
          <w:numId w:val="2"/>
        </w:numPr>
        <w:jc w:val="both"/>
        <w:rPr>
          <w:rFonts w:cstheme="minorHAnsi"/>
        </w:rPr>
      </w:pPr>
      <w:r>
        <w:t xml:space="preserve"> … eurot pärast p … nimetatu Linnale üleandmist jne.</w:t>
      </w:r>
    </w:p>
    <w:p w:rsidR="00CC3521" w:rsidRPr="00CC3521" w:rsidRDefault="00CC3521" w:rsidP="00CC3521">
      <w:pPr>
        <w:pStyle w:val="Loendilik"/>
        <w:jc w:val="both"/>
        <w:rPr>
          <w:rFonts w:cstheme="minorHAnsi"/>
        </w:rPr>
      </w:pPr>
    </w:p>
    <w:p w:rsidR="00CC3521" w:rsidRPr="00CC3521" w:rsidRDefault="00CC3521" w:rsidP="00CC3521">
      <w:pPr>
        <w:pStyle w:val="Loendilik"/>
        <w:numPr>
          <w:ilvl w:val="0"/>
          <w:numId w:val="2"/>
        </w:numPr>
        <w:jc w:val="both"/>
        <w:rPr>
          <w:rFonts w:cstheme="minorHAnsi"/>
        </w:rPr>
      </w:pPr>
      <w:r>
        <w:t xml:space="preserve">Punktis 3 nimetatud töö tulemused annab Ülikool Linnale üle järgmises vormingus ….. </w:t>
      </w:r>
      <w:r w:rsidR="0015028D">
        <w:t>Töö osa üleandmise kohta koostatakse üleandmise-vastuvõtmise akt.</w:t>
      </w:r>
    </w:p>
    <w:p w:rsidR="00CC3521" w:rsidRPr="00CC3521" w:rsidRDefault="00CC3521" w:rsidP="00CC3521">
      <w:pPr>
        <w:pStyle w:val="Loendilik"/>
        <w:jc w:val="both"/>
        <w:rPr>
          <w:rFonts w:cstheme="minorHAnsi"/>
        </w:rPr>
      </w:pPr>
    </w:p>
    <w:p w:rsidR="00463FD4" w:rsidRDefault="00CC3521" w:rsidP="00463FD4">
      <w:pPr>
        <w:pStyle w:val="Loendilik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Linnal on õigus nõuda punkti 3 kohaselt tehtud töö </w:t>
      </w:r>
      <w:r w:rsidR="0015028D">
        <w:rPr>
          <w:rFonts w:cstheme="minorHAnsi"/>
        </w:rPr>
        <w:t xml:space="preserve">iga osa </w:t>
      </w:r>
      <w:r>
        <w:rPr>
          <w:rFonts w:cstheme="minorHAnsi"/>
        </w:rPr>
        <w:t>täiustamist ja parandamist enne selle</w:t>
      </w:r>
      <w:r w:rsidR="0015028D">
        <w:rPr>
          <w:rFonts w:cstheme="minorHAnsi"/>
        </w:rPr>
        <w:t xml:space="preserve"> aktiga</w:t>
      </w:r>
      <w:r>
        <w:rPr>
          <w:rFonts w:cstheme="minorHAnsi"/>
        </w:rPr>
        <w:t xml:space="preserve"> vastuvõtmist, kui ilmneb, et välja pakutu ei vasta Linna ootustele. Ettepanekud töö täiustamiseks ja parandamiseks tuleb teha hiljemalt kah</w:t>
      </w:r>
      <w:r w:rsidR="0015028D">
        <w:rPr>
          <w:rFonts w:cstheme="minorHAnsi"/>
        </w:rPr>
        <w:t xml:space="preserve">e nädala jooksul pärast vastava </w:t>
      </w:r>
      <w:r>
        <w:rPr>
          <w:rFonts w:cstheme="minorHAnsi"/>
        </w:rPr>
        <w:t>osa töö</w:t>
      </w:r>
      <w:r w:rsidR="0015028D">
        <w:rPr>
          <w:rFonts w:cstheme="minorHAnsi"/>
        </w:rPr>
        <w:t>st</w:t>
      </w:r>
      <w:r>
        <w:rPr>
          <w:rFonts w:cstheme="minorHAnsi"/>
        </w:rPr>
        <w:t xml:space="preserve"> Linnale esitamist.</w:t>
      </w:r>
      <w:r w:rsidR="00463FD4">
        <w:rPr>
          <w:rFonts w:cstheme="minorHAnsi"/>
        </w:rPr>
        <w:t xml:space="preserve"> Kui Ülikool loobub töö täiustamisest või parandamisest on Linnal õigus vähendada vastava töö osa eest makstavat tasu 10 % vastava osa eest tasumisele kuuluvast summast.</w:t>
      </w:r>
    </w:p>
    <w:p w:rsidR="00463FD4" w:rsidRDefault="00463FD4" w:rsidP="00463FD4">
      <w:pPr>
        <w:pStyle w:val="Loendilik"/>
      </w:pPr>
    </w:p>
    <w:p w:rsidR="00463FD4" w:rsidRPr="00463FD4" w:rsidRDefault="00463FD4" w:rsidP="00463FD4">
      <w:pPr>
        <w:pStyle w:val="Loendilik"/>
        <w:numPr>
          <w:ilvl w:val="0"/>
          <w:numId w:val="2"/>
        </w:numPr>
        <w:jc w:val="both"/>
        <w:rPr>
          <w:rFonts w:cstheme="minorHAnsi"/>
        </w:rPr>
      </w:pPr>
      <w:r>
        <w:t>Linna ja Ülikooli vahelise koostöö vormiks Lepingu täitmisel on koosolekud ja kirjavahetus.</w:t>
      </w:r>
    </w:p>
    <w:p w:rsidR="00463FD4" w:rsidRDefault="00463FD4" w:rsidP="00463FD4">
      <w:pPr>
        <w:pStyle w:val="Loendilik"/>
      </w:pPr>
    </w:p>
    <w:p w:rsidR="00463FD4" w:rsidRPr="00463FD4" w:rsidRDefault="00463FD4" w:rsidP="00463FD4">
      <w:pPr>
        <w:pStyle w:val="Loendilik"/>
        <w:numPr>
          <w:ilvl w:val="0"/>
          <w:numId w:val="2"/>
        </w:numPr>
        <w:jc w:val="both"/>
        <w:rPr>
          <w:rFonts w:cstheme="minorHAnsi"/>
        </w:rPr>
      </w:pPr>
      <w:r>
        <w:t>Lepinguga seotud teisele poolele edastatavad teated peavad olema saadetud kirjalikku taasesitamist võimaldavas vormis: e-posti või  kirja või teel v.a teated, mis on informatiivse iseloomuga ja mille edastamine ei too teisele Poolele kaasa õiguslikke tagajärgi.</w:t>
      </w:r>
    </w:p>
    <w:p w:rsidR="00463FD4" w:rsidRDefault="00463FD4" w:rsidP="00463FD4">
      <w:pPr>
        <w:pStyle w:val="Loendilik"/>
      </w:pPr>
    </w:p>
    <w:p w:rsidR="00D72E34" w:rsidRPr="00463FD4" w:rsidRDefault="00463FD4" w:rsidP="00463FD4">
      <w:pPr>
        <w:pStyle w:val="Loendilik"/>
        <w:numPr>
          <w:ilvl w:val="0"/>
          <w:numId w:val="2"/>
        </w:numPr>
        <w:jc w:val="both"/>
        <w:rPr>
          <w:rFonts w:cstheme="minorHAnsi"/>
        </w:rPr>
      </w:pPr>
      <w:r>
        <w:t>Lepingu täitmisega seonduv informatsioon loetakse teisele poolele edasiantuks, kui see on samaaegselt saadetud järgmiste isikute e-posti aadressidele</w:t>
      </w:r>
    </w:p>
    <w:p w:rsidR="00463FD4" w:rsidRPr="00463FD4" w:rsidRDefault="00463FD4" w:rsidP="00463FD4">
      <w:pPr>
        <w:pStyle w:val="Loendilik"/>
        <w:rPr>
          <w:rFonts w:cstheme="minorHAnsi"/>
        </w:rPr>
      </w:pPr>
    </w:p>
    <w:p w:rsidR="00463FD4" w:rsidRDefault="00463FD4" w:rsidP="00463FD4">
      <w:pPr>
        <w:jc w:val="both"/>
        <w:rPr>
          <w:rFonts w:cstheme="minorHAnsi"/>
        </w:rPr>
      </w:pPr>
    </w:p>
    <w:p w:rsidR="00463FD4" w:rsidRDefault="0015028D" w:rsidP="00463FD4">
      <w:pPr>
        <w:jc w:val="both"/>
        <w:rPr>
          <w:rFonts w:cstheme="minorHAnsi"/>
        </w:rPr>
      </w:pPr>
      <w:r>
        <w:rPr>
          <w:rFonts w:cstheme="minorHAnsi"/>
        </w:rPr>
        <w:t>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………………………………..</w:t>
      </w:r>
    </w:p>
    <w:p w:rsidR="0015028D" w:rsidRPr="00463FD4" w:rsidRDefault="0015028D" w:rsidP="00463FD4">
      <w:pPr>
        <w:jc w:val="both"/>
        <w:rPr>
          <w:rFonts w:cstheme="minorHAnsi"/>
        </w:rPr>
      </w:pPr>
      <w:r>
        <w:rPr>
          <w:rFonts w:cstheme="minorHAnsi"/>
        </w:rPr>
        <w:t>Tartu linn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Tartu Ülikool</w:t>
      </w:r>
    </w:p>
    <w:p w:rsidR="00D72E34" w:rsidRDefault="00D72E34" w:rsidP="00D72E34">
      <w:pPr>
        <w:jc w:val="both"/>
      </w:pPr>
    </w:p>
    <w:sectPr w:rsidR="00D7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630"/>
    <w:multiLevelType w:val="multilevel"/>
    <w:tmpl w:val="9B28B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5937FF"/>
    <w:multiLevelType w:val="hybridMultilevel"/>
    <w:tmpl w:val="F788A5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81"/>
    <w:rsid w:val="0015028D"/>
    <w:rsid w:val="002472EA"/>
    <w:rsid w:val="00463FD4"/>
    <w:rsid w:val="004A03E6"/>
    <w:rsid w:val="004B77BD"/>
    <w:rsid w:val="005C6088"/>
    <w:rsid w:val="006657BA"/>
    <w:rsid w:val="007D440C"/>
    <w:rsid w:val="00850BD6"/>
    <w:rsid w:val="00A15393"/>
    <w:rsid w:val="00A61BA8"/>
    <w:rsid w:val="00A66AFA"/>
    <w:rsid w:val="00B3634E"/>
    <w:rsid w:val="00BE6E0E"/>
    <w:rsid w:val="00CA4481"/>
    <w:rsid w:val="00CC3521"/>
    <w:rsid w:val="00D72E34"/>
    <w:rsid w:val="00E7338B"/>
    <w:rsid w:val="00F8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A4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A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790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Apuhtin</dc:creator>
  <cp:keywords/>
  <dc:description/>
  <cp:lastModifiedBy>TLV</cp:lastModifiedBy>
  <cp:revision>7</cp:revision>
  <dcterms:created xsi:type="dcterms:W3CDTF">2019-12-11T13:57:00Z</dcterms:created>
  <dcterms:modified xsi:type="dcterms:W3CDTF">2019-12-17T09:20:00Z</dcterms:modified>
</cp:coreProperties>
</file>