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C5" w:rsidRDefault="00BF6B9E">
      <w:r>
        <w:t>Tartu linna üldplaneering 2030+</w:t>
      </w:r>
    </w:p>
    <w:p w:rsidR="00BF6B9E" w:rsidRDefault="00BF6B9E" w:rsidP="00BF6B9E">
      <w:pPr>
        <w:pStyle w:val="Heading1"/>
        <w:numPr>
          <w:ilvl w:val="0"/>
          <w:numId w:val="0"/>
        </w:numPr>
      </w:pPr>
      <w:r>
        <w:t>Energeetika</w:t>
      </w:r>
    </w:p>
    <w:p w:rsidR="00FA341D" w:rsidRPr="00FA341D" w:rsidRDefault="00FA341D" w:rsidP="00FA341D">
      <w:r>
        <w:t xml:space="preserve">Energiatarbimine põhineb olemasolevate tehnosüsteemide ressursi kasutamisel ja vastavate süsteemide laiendamisel. </w:t>
      </w:r>
      <w:r w:rsidR="005B12D9">
        <w:t>Energiasäästliku energeetikasüsteemi arendamise eesmärgil on l</w:t>
      </w:r>
      <w:r>
        <w:t>o</w:t>
      </w:r>
      <w:r w:rsidR="004806C2">
        <w:t xml:space="preserve">odud </w:t>
      </w:r>
      <w:r w:rsidR="005B12D9">
        <w:t>r</w:t>
      </w:r>
      <w:r w:rsidR="004806C2">
        <w:t>eeglistik lo</w:t>
      </w:r>
      <w:r>
        <w:t>kaalsete</w:t>
      </w:r>
      <w:r w:rsidR="007D681D">
        <w:t xml:space="preserve">, taastuvatel energiaressursside kasutamisel põhinevate </w:t>
      </w:r>
      <w:r>
        <w:t>lahenduste rakendamise</w:t>
      </w:r>
      <w:r w:rsidR="004806C2">
        <w:t xml:space="preserve">ks, mille </w:t>
      </w:r>
      <w:r>
        <w:t xml:space="preserve">võimalus sõltub </w:t>
      </w:r>
      <w:r w:rsidR="00CA54D6">
        <w:t>looduslikest ja linnakujundu</w:t>
      </w:r>
      <w:r>
        <w:t>slikest</w:t>
      </w:r>
      <w:r w:rsidR="00CA54D6">
        <w:t xml:space="preserve"> tingimustest</w:t>
      </w:r>
    </w:p>
    <w:p w:rsidR="00BF6B9E" w:rsidRDefault="00BF6B9E" w:rsidP="00BF6B9E">
      <w:pPr>
        <w:pStyle w:val="Heading1"/>
      </w:pPr>
      <w:r>
        <w:t>Veevarustus</w:t>
      </w:r>
    </w:p>
    <w:p w:rsidR="00BF6B9E" w:rsidRDefault="00BF6B9E" w:rsidP="00BF6B9E">
      <w:r>
        <w:t>Veevarustus</w:t>
      </w:r>
      <w:r w:rsidR="00CA54D6">
        <w:t xml:space="preserve"> põhineb puurkaevudest ammutata</w:t>
      </w:r>
      <w:r>
        <w:t>va vee puhastamisel ja torustiku kaudu jaotamisel.</w:t>
      </w:r>
    </w:p>
    <w:p w:rsidR="00C93928" w:rsidRDefault="00BF6B9E" w:rsidP="00C93928">
      <w:r>
        <w:t>Linna peamised veehaarded , kust jo</w:t>
      </w:r>
      <w:r w:rsidR="00AA2DFD">
        <w:t>ogiv</w:t>
      </w:r>
      <w:r>
        <w:t xml:space="preserve">ett ammutatakse, on </w:t>
      </w:r>
      <w:proofErr w:type="spellStart"/>
      <w:r>
        <w:t>Meltsiveski</w:t>
      </w:r>
      <w:proofErr w:type="spellEnd"/>
      <w:r>
        <w:t xml:space="preserve"> veehaare, </w:t>
      </w:r>
      <w:r w:rsidR="00AA2DFD">
        <w:t xml:space="preserve"> </w:t>
      </w:r>
      <w:r>
        <w:t xml:space="preserve">Anne veehaare ja </w:t>
      </w:r>
      <w:proofErr w:type="spellStart"/>
      <w:r>
        <w:t>Ropka</w:t>
      </w:r>
      <w:proofErr w:type="spellEnd"/>
      <w:r>
        <w:t xml:space="preserve"> veehaare.</w:t>
      </w:r>
      <w:r w:rsidR="00F43B8E">
        <w:t xml:space="preserve"> </w:t>
      </w:r>
    </w:p>
    <w:p w:rsidR="00C93928" w:rsidRPr="00C93928" w:rsidRDefault="00C93928" w:rsidP="00C93928">
      <w:r>
        <w:t>Planeeringu põhilahenduse juures k</w:t>
      </w:r>
      <w:r w:rsidRPr="00C93928">
        <w:t>äsitle</w:t>
      </w:r>
      <w:r>
        <w:t xml:space="preserve">takse </w:t>
      </w:r>
      <w:r w:rsidRPr="00C93928">
        <w:t xml:space="preserve"> veehaarete ja puurkaevude kaitsetsoonide </w:t>
      </w:r>
      <w:r>
        <w:t>piirangutega</w:t>
      </w:r>
      <w:r w:rsidRPr="00C93928">
        <w:t xml:space="preserve">, sealhulgas </w:t>
      </w:r>
      <w:proofErr w:type="spellStart"/>
      <w:r w:rsidRPr="00C93928">
        <w:t>Meltsiveski</w:t>
      </w:r>
      <w:proofErr w:type="spellEnd"/>
      <w:r w:rsidRPr="00C93928">
        <w:t xml:space="preserve"> veehaardega seonduvat.  Anne veehaare on praeguse üldplaneeringu järgi ridaveehaare, aga tegelikkuses o</w:t>
      </w:r>
      <w:r>
        <w:t>n</w:t>
      </w:r>
      <w:r w:rsidRPr="00C93928">
        <w:t xml:space="preserve"> jõu</w:t>
      </w:r>
      <w:r>
        <w:t>t</w:t>
      </w:r>
      <w:r w:rsidRPr="00C93928">
        <w:t xml:space="preserve">ud järeldusele, et seda veehaaret </w:t>
      </w:r>
      <w:r>
        <w:t xml:space="preserve">tuleb </w:t>
      </w:r>
      <w:r w:rsidRPr="00C93928">
        <w:t>käsitle</w:t>
      </w:r>
      <w:r>
        <w:t>da</w:t>
      </w:r>
      <w:r w:rsidRPr="00C93928">
        <w:t xml:space="preserve"> puurkaevude gruppidest koosneva veehaardena. </w:t>
      </w:r>
      <w:r>
        <w:t>Samuti täpsustatakse p</w:t>
      </w:r>
      <w:r w:rsidRPr="00C93928">
        <w:t>erspektiivse</w:t>
      </w:r>
      <w:r>
        <w:t>te</w:t>
      </w:r>
      <w:r w:rsidRPr="00C93928">
        <w:t xml:space="preserve"> veehaar</w:t>
      </w:r>
      <w:r>
        <w:t>ete küsimus (</w:t>
      </w:r>
      <w:proofErr w:type="spellStart"/>
      <w:r>
        <w:t>Vorbuse</w:t>
      </w:r>
      <w:proofErr w:type="spellEnd"/>
      <w:r>
        <w:t xml:space="preserve">, Riia, </w:t>
      </w:r>
      <w:r w:rsidRPr="00C93928">
        <w:t>Kobrulehe</w:t>
      </w:r>
      <w:r>
        <w:t>)</w:t>
      </w:r>
      <w:r w:rsidRPr="00C93928">
        <w:t>.</w:t>
      </w:r>
      <w:r>
        <w:t xml:space="preserve"> </w:t>
      </w:r>
      <w:r w:rsidRPr="00C93928">
        <w:t xml:space="preserve"> </w:t>
      </w:r>
    </w:p>
    <w:p w:rsidR="00C93928" w:rsidRPr="00C93928" w:rsidRDefault="00C93928" w:rsidP="00C93928">
      <w:r>
        <w:t xml:space="preserve">Planeeringu põhilahenduses </w:t>
      </w:r>
      <w:r w:rsidR="00A55DB4">
        <w:t>kajastatakse</w:t>
      </w:r>
      <w:r w:rsidRPr="00C93928">
        <w:t xml:space="preserve"> põhjavee kaitsega seotud piirangu</w:t>
      </w:r>
      <w:r w:rsidR="00A55DB4">
        <w:t xml:space="preserve">d vastaval </w:t>
      </w:r>
      <w:r w:rsidRPr="00C93928">
        <w:t>kaardi</w:t>
      </w:r>
      <w:r w:rsidR="00A55DB4">
        <w:t>l, kus lisaks nimetatud veehaaretele kajastatakse ka teised</w:t>
      </w:r>
      <w:r w:rsidRPr="00C93928">
        <w:t xml:space="preserve"> </w:t>
      </w:r>
      <w:proofErr w:type="spellStart"/>
      <w:r w:rsidR="00A55DB4">
        <w:t>AS-le</w:t>
      </w:r>
      <w:proofErr w:type="spellEnd"/>
      <w:r w:rsidR="00A55DB4">
        <w:t xml:space="preserve"> </w:t>
      </w:r>
      <w:r w:rsidRPr="00C93928">
        <w:t>Tartu Veevär</w:t>
      </w:r>
      <w:r w:rsidR="00A55DB4">
        <w:t>k kuuluvad üksiku</w:t>
      </w:r>
      <w:r w:rsidRPr="00C93928">
        <w:t>d puurkaev</w:t>
      </w:r>
      <w:r w:rsidR="00A55DB4">
        <w:t xml:space="preserve">ud </w:t>
      </w:r>
      <w:r w:rsidRPr="00C93928">
        <w:t>ja puurkaevude grup</w:t>
      </w:r>
      <w:r w:rsidR="00A55DB4">
        <w:t>id</w:t>
      </w:r>
      <w:r w:rsidRPr="00C93928">
        <w:t xml:space="preserve">. </w:t>
      </w:r>
      <w:r w:rsidR="00A55DB4">
        <w:t xml:space="preserve">Kajastatakse ka </w:t>
      </w:r>
      <w:r w:rsidRPr="00C93928">
        <w:t>eravalduses oleva</w:t>
      </w:r>
      <w:r w:rsidR="00A55DB4">
        <w:t>d</w:t>
      </w:r>
      <w:r w:rsidRPr="00C93928">
        <w:t xml:space="preserve"> puurkaevu</w:t>
      </w:r>
      <w:r w:rsidR="00A55DB4">
        <w:t>d</w:t>
      </w:r>
      <w:r w:rsidRPr="00C93928">
        <w:t xml:space="preserve">. </w:t>
      </w:r>
    </w:p>
    <w:p w:rsidR="00245087" w:rsidRDefault="00AA2DFD" w:rsidP="00BF6B9E">
      <w:r>
        <w:t xml:space="preserve"> Uu</w:t>
      </w:r>
      <w:r w:rsidR="00BF6B9E">
        <w:t>shoonestuse veevarustuse lahendamiseks rajatakse ü</w:t>
      </w:r>
      <w:r>
        <w:t>hendustorustikud olemasoleva üh</w:t>
      </w:r>
      <w:r w:rsidR="00F43B8E">
        <w:t>i</w:t>
      </w:r>
      <w:r w:rsidR="007D681D">
        <w:t xml:space="preserve">sveevärgisüsteemi laiendusena. </w:t>
      </w:r>
    </w:p>
    <w:p w:rsidR="0047107C" w:rsidRPr="00BF6B9E" w:rsidRDefault="007D681D" w:rsidP="00BF6B9E">
      <w:r>
        <w:t>Detailplaneeringute koostamisel ja h</w:t>
      </w:r>
      <w:r w:rsidR="00F43B8E">
        <w:t>oonete projektides on veevarustuse lahenduse aluseks vee-ettevõtja (AS Tartu Veevärk) tehnilised tingimused.</w:t>
      </w:r>
    </w:p>
    <w:p w:rsidR="00BF6B9E" w:rsidRDefault="00BF6B9E" w:rsidP="00BF6B9E">
      <w:pPr>
        <w:pStyle w:val="Heading1"/>
      </w:pPr>
      <w:r>
        <w:t>Kanalisatsioon</w:t>
      </w:r>
    </w:p>
    <w:p w:rsidR="00F43B8E" w:rsidRDefault="00F43B8E" w:rsidP="00F43B8E">
      <w:r>
        <w:t xml:space="preserve">Kanalisatsioonisüsteem põhineb </w:t>
      </w:r>
      <w:proofErr w:type="spellStart"/>
      <w:r>
        <w:t>Ropka</w:t>
      </w:r>
      <w:proofErr w:type="spellEnd"/>
      <w:r>
        <w:t xml:space="preserve"> tööstuspiirkonda rajatud heitveepuhas</w:t>
      </w:r>
      <w:r w:rsidR="005B12D9">
        <w:t>til</w:t>
      </w:r>
      <w:r w:rsidR="00AA2DFD">
        <w:t xml:space="preserve">. </w:t>
      </w:r>
      <w:r>
        <w:t>Uushoonestuse kanalisatsiooniühenduse lahendamiseks rajatakse torustikud olemasoleva ühiskanalisatsiooni</w:t>
      </w:r>
      <w:r w:rsidR="002D486B">
        <w:t>torustiku</w:t>
      </w:r>
      <w:r>
        <w:t xml:space="preserve"> laiendusena</w:t>
      </w:r>
      <w:r w:rsidR="00B62A34">
        <w:t xml:space="preserve"> nii, et eesvooluks on tunnelkollektor ja selle lõpus asuv puhasti</w:t>
      </w:r>
      <w:r w:rsidR="0047107C">
        <w:t>.</w:t>
      </w:r>
    </w:p>
    <w:p w:rsidR="00A55DB4" w:rsidRDefault="00A55DB4" w:rsidP="00A55DB4">
      <w:r>
        <w:t xml:space="preserve">Planeeringu </w:t>
      </w:r>
      <w:r w:rsidRPr="00A55DB4">
        <w:t>põhilahenduse juures esitatakse reoveekogumisalade  piir ja tuuakse välja reoveepuhasti kuja ning täpsustatakse, millised piirangud selles alas esinevad.</w:t>
      </w:r>
    </w:p>
    <w:p w:rsidR="007D681D" w:rsidRPr="00BF6B9E" w:rsidRDefault="007D681D" w:rsidP="007D681D">
      <w:r>
        <w:t>Detailplaneeringute koostamisel ja hoonete projektides on veevarustuse lahenduse aluseks vee-ettevõtja (AS Tartu Veevärk) tehnilised tingimused.</w:t>
      </w:r>
    </w:p>
    <w:p w:rsidR="00BF6B9E" w:rsidRDefault="00BF6B9E" w:rsidP="00BF6B9E">
      <w:pPr>
        <w:pStyle w:val="Heading1"/>
      </w:pPr>
      <w:r>
        <w:lastRenderedPageBreak/>
        <w:t>Sademeveekanalisatsioon</w:t>
      </w:r>
    </w:p>
    <w:p w:rsidR="00B62A34" w:rsidRDefault="00F43B8E" w:rsidP="00F43B8E">
      <w:r>
        <w:t>S</w:t>
      </w:r>
      <w:r w:rsidR="00AA2DFD">
        <w:t>a</w:t>
      </w:r>
      <w:r>
        <w:t xml:space="preserve">demeveekanalisatsiooni </w:t>
      </w:r>
      <w:r w:rsidR="00B62A34">
        <w:t xml:space="preserve"> arendamine toimub lahkvoolse süsteemi põhimõtteid järgides. Sademeveetorustike eesvooluks on Emajõgi. Suublates toimub sademevee puhastamine</w:t>
      </w:r>
      <w:r w:rsidR="00245087">
        <w:t>, peamiselt</w:t>
      </w:r>
      <w:r w:rsidR="00B62A34">
        <w:t xml:space="preserve"> muda- õli püüniseid kasutades. Piirkondades, kus asustustihedus seda võimaldab, </w:t>
      </w:r>
      <w:r>
        <w:t xml:space="preserve"> </w:t>
      </w:r>
      <w:r w:rsidR="00B62A34">
        <w:t>võib sademevee puhastamiseks kasutada ka looduslikke meetmeid</w:t>
      </w:r>
      <w:r w:rsidR="00AA2DFD">
        <w:t xml:space="preserve"> </w:t>
      </w:r>
      <w:r w:rsidR="00B62A34">
        <w:t xml:space="preserve">(kraavitus). </w:t>
      </w:r>
    </w:p>
    <w:p w:rsidR="00213C5B" w:rsidRDefault="00B62A34" w:rsidP="00F43B8E">
      <w:r>
        <w:t xml:space="preserve">Uushoonestuse sademeveelahendused rajatakse kas olemasoleva sademeveetorustiku laiendusena või lokaalse süsteemina. Lokaalse süsteemina projekteerimisel ja rajamisel (immutamine) tuleb järgida </w:t>
      </w:r>
      <w:r w:rsidR="00D51AE5">
        <w:t xml:space="preserve">sademevee suublasse juhtimise </w:t>
      </w:r>
      <w:r>
        <w:t>keskkonnanõudeid, (</w:t>
      </w:r>
      <w:r w:rsidR="00213C5B">
        <w:t xml:space="preserve">vastavalt </w:t>
      </w:r>
      <w:r w:rsidR="00D51AE5">
        <w:t xml:space="preserve">VV 29.11.2012.a </w:t>
      </w:r>
      <w:r w:rsidR="00213C5B">
        <w:t>määrusele nr</w:t>
      </w:r>
      <w:r w:rsidR="00D51AE5">
        <w:t>.99</w:t>
      </w:r>
      <w:r w:rsidR="00213C5B">
        <w:t xml:space="preserve"> </w:t>
      </w:r>
      <w:r>
        <w:t>1.2</w:t>
      </w:r>
      <w:r w:rsidR="00213C5B">
        <w:t>m).  Immutamise võimalikkus tuleb välja selgitada hoone planeerimis- projekteerimisprotsessi võimalikult varases staadiumis geoloogiliste andmetele tuginedes vastava ala spetsialisti poolt.</w:t>
      </w:r>
    </w:p>
    <w:p w:rsidR="007137C8" w:rsidRDefault="002D486B" w:rsidP="00F43B8E">
      <w:r>
        <w:t xml:space="preserve">Tehniliste eelduste olemasolul </w:t>
      </w:r>
      <w:r w:rsidR="007137C8">
        <w:t xml:space="preserve">on lokaalse lahendusena </w:t>
      </w:r>
      <w:r>
        <w:t xml:space="preserve">võimalik </w:t>
      </w:r>
      <w:r w:rsidR="007137C8">
        <w:t xml:space="preserve">kasutada </w:t>
      </w:r>
      <w:proofErr w:type="spellStart"/>
      <w:r w:rsidR="007137C8">
        <w:t>drosseldamist</w:t>
      </w:r>
      <w:proofErr w:type="spellEnd"/>
      <w:r w:rsidR="007137C8">
        <w:t>, kus arendatavale krundile paigutatakse piisavava mahuga sademevee kogumismahuti, mille vett kasutatakse olmeveena (kastmine, tualetid jms) enne kanalisatsioonisüsteemi juhtimist. Antud lahenduse realiseerimise eelduseks on AS-i Tartu Veevärk tehnilised tingimused, mis välistavad reoveepuhasti töörežiimi rikkumise valingvihmade korral.</w:t>
      </w:r>
    </w:p>
    <w:p w:rsidR="00213C5B" w:rsidRDefault="00213C5B" w:rsidP="00F43B8E">
      <w:r>
        <w:t>Parklate sademevee immutamise puhul tuleb enne im</w:t>
      </w:r>
      <w:r w:rsidR="00E932DD">
        <w:t>bsüsteemi</w:t>
      </w:r>
      <w:r>
        <w:t xml:space="preserve"> suunamist sademeveed puhastada. Sademeveetorustikku suunatavad parklate sademeveed tuleb enne torustikku puhastada 10 ja suurema kohtade arvuga parklate puhul.</w:t>
      </w:r>
    </w:p>
    <w:p w:rsidR="00245087" w:rsidRDefault="00245087" w:rsidP="00F43B8E">
      <w:r>
        <w:t>Detailplaneeringutes immutuslahenduse kavandamisel tuleb tugineda konkreetsetele planeeringuala geoloogiliste uuringute andmetele.</w:t>
      </w:r>
    </w:p>
    <w:p w:rsidR="00E932DD" w:rsidRDefault="00E932DD" w:rsidP="00F43B8E">
      <w:r>
        <w:t>Planeeringu põhilahenduses koostatakse sademeveekaart, kus muuhulgas tähistatakse sademevee lasud emajõkke ja supelrandadest tingitud sademeveelaskude keelualad.</w:t>
      </w:r>
    </w:p>
    <w:p w:rsidR="00F43B8E" w:rsidRPr="00F43B8E" w:rsidRDefault="0047107C" w:rsidP="00F43B8E">
      <w:r>
        <w:t>Projektides on kanalisatsioonitorustikku sademevee suunamisel aluseks tehnilised tingimused</w:t>
      </w:r>
      <w:r w:rsidR="00D0542B">
        <w:t xml:space="preserve"> </w:t>
      </w:r>
      <w:proofErr w:type="spellStart"/>
      <w:r w:rsidR="00D0542B">
        <w:t>AS-lt</w:t>
      </w:r>
      <w:proofErr w:type="spellEnd"/>
      <w:r w:rsidR="00D0542B">
        <w:t xml:space="preserve"> Tartu Veevärk</w:t>
      </w:r>
      <w:r>
        <w:t>, immutuslahenduse korral vastavus keskkonnanõuetele</w:t>
      </w:r>
      <w:r w:rsidR="00A71058">
        <w:t xml:space="preserve"> ja lähtumine konkreetsetest geoloogilistest tingimustest</w:t>
      </w:r>
      <w:r>
        <w:t xml:space="preserve">. </w:t>
      </w:r>
    </w:p>
    <w:p w:rsidR="00BF6B9E" w:rsidRDefault="00BF6B9E" w:rsidP="00BF6B9E">
      <w:pPr>
        <w:pStyle w:val="Heading1"/>
      </w:pPr>
      <w:r>
        <w:t>Kaugküte</w:t>
      </w:r>
    </w:p>
    <w:p w:rsidR="002D6639" w:rsidRDefault="002D6639" w:rsidP="002D6639">
      <w:pPr>
        <w:jc w:val="both"/>
      </w:pPr>
      <w:bookmarkStart w:id="0" w:name="_Toc90099654"/>
      <w:bookmarkStart w:id="1" w:name="_Toc93835640"/>
      <w:bookmarkStart w:id="2" w:name="_Toc93838540"/>
      <w:bookmarkStart w:id="3" w:name="_Toc93840244"/>
      <w:bookmarkStart w:id="4" w:name="_Toc94949998"/>
      <w:bookmarkStart w:id="5" w:name="_Toc94950019"/>
      <w:r w:rsidRPr="007073A8">
        <w:t>Euroopa Liidu energiapoliitika eesmärkideks  on vähendada kasvuhoonegaaside emiteerimist, suurendada taastuvenergeetika osakaalu ja tõsta energiakasutuse efektiivsust. Nende ülesannete täitmisel on meie kliimavööndis suur roll kaugküttel.</w:t>
      </w:r>
      <w:r>
        <w:t xml:space="preserve"> 16. veebruaril 2016 avaldas Euroopa Komisjon Euroopa kütte- ja </w:t>
      </w:r>
      <w:proofErr w:type="spellStart"/>
      <w:r>
        <w:t>jahutusstreteegia</w:t>
      </w:r>
      <w:proofErr w:type="spellEnd"/>
      <w:r>
        <w:t xml:space="preserve">. Selle dokumendiga võetakse soojusvarustus laiemalt ning kaugküte ja -jahutus Euroopa Liidus päevakorda. Dokumendis leitakse, et just soojuse ja elektri koostootmine kombinatsioonis kaugkütte ja biokütustega annab tähelepanuväärset CO2 kokkuhoidu võrreldes soojuse ja elektri eraldi tootmisega. Kaugküte sobib suurepäraselt, et integreerida erinevaid taastuvenergia, jääksoojuse ja jäätmekäitluslahendusi (jäätmepõletus) olles samal ajal ka energiasalvestuspuhvriks. </w:t>
      </w:r>
    </w:p>
    <w:p w:rsidR="002D6639" w:rsidRDefault="002D6639" w:rsidP="002D6639"/>
    <w:p w:rsidR="002D6639" w:rsidRDefault="002D6639" w:rsidP="002D6639">
      <w:pPr>
        <w:jc w:val="both"/>
      </w:pPr>
      <w:r>
        <w:lastRenderedPageBreak/>
        <w:t>Tartus on investeerit</w:t>
      </w:r>
      <w:r w:rsidRPr="00AB19FF">
        <w:t>ud</w:t>
      </w:r>
      <w:r>
        <w:t xml:space="preserve"> </w:t>
      </w:r>
      <w:r w:rsidRPr="00AB19FF">
        <w:t>kaasaegsetess</w:t>
      </w:r>
      <w:r>
        <w:t>e efektiivs</w:t>
      </w:r>
      <w:r w:rsidRPr="00AB19FF">
        <w:t>esse soojuse ja elektri koostootmis</w:t>
      </w:r>
      <w:r>
        <w:t>esse, mis kütustena kasutavad kohalikku päritolu biokütuseid, peamiselt hakkepuitu.</w:t>
      </w:r>
      <w:r w:rsidRPr="00AB19FF">
        <w:t xml:space="preserve"> </w:t>
      </w:r>
      <w:r>
        <w:t>K</w:t>
      </w:r>
      <w:r w:rsidRPr="00AB19FF">
        <w:t xml:space="preserve">eskkonnasõbralike biokütuste kasutamine ja kõrge efektiivsus </w:t>
      </w:r>
      <w:r>
        <w:t xml:space="preserve">on </w:t>
      </w:r>
      <w:r w:rsidRPr="00AB19FF">
        <w:t>taganud tarbijale soodsa kaugküttehi</w:t>
      </w:r>
      <w:r>
        <w:t xml:space="preserve">nna ja puhtama õhu. </w:t>
      </w:r>
    </w:p>
    <w:p w:rsidR="002D6639" w:rsidRDefault="002D6639" w:rsidP="002D6639">
      <w:pPr>
        <w:jc w:val="both"/>
      </w:pPr>
      <w:r w:rsidRPr="009C0AC7">
        <w:t>Tartus on kaugküt</w:t>
      </w:r>
      <w:r>
        <w:t>t</w:t>
      </w:r>
      <w:r w:rsidRPr="009C0AC7">
        <w:t>e</w:t>
      </w:r>
      <w:r>
        <w:t xml:space="preserve"> soojus</w:t>
      </w:r>
      <w:r w:rsidRPr="009C0AC7">
        <w:t xml:space="preserve"> ca 25% odavam kui kütteks importkütuseid kasutavates kaugküttepiirkondades. </w:t>
      </w:r>
      <w:r>
        <w:t>Sellest tulenevalt on viimase</w:t>
      </w:r>
      <w:r w:rsidRPr="009C0AC7">
        <w:t xml:space="preserve"> 10 aasta </w:t>
      </w:r>
      <w:r>
        <w:t>jooksul soojusenergiale tehtud kulutustelt saanud tarbijad säästu</w:t>
      </w:r>
      <w:r w:rsidRPr="009C0AC7">
        <w:t xml:space="preserve"> ca 100 miljoni</w:t>
      </w:r>
      <w:r>
        <w:t>t</w:t>
      </w:r>
      <w:r w:rsidRPr="009C0AC7">
        <w:t xml:space="preserve"> eurot. Kuna biokütused hangitakse ligidalt Lõuna-Eestist, siis on sel perioodil kütuse eest makstud raha läinud kohalikku majandusse, andes tööd ja leiba metsanduse ja turbatootmisega tegelejatele.</w:t>
      </w:r>
    </w:p>
    <w:p w:rsidR="002D6639" w:rsidRDefault="002D6639" w:rsidP="002D6639">
      <w:pPr>
        <w:jc w:val="both"/>
      </w:pPr>
      <w:r>
        <w:t>Kodumaistel</w:t>
      </w:r>
      <w:r w:rsidRPr="00AB19FF">
        <w:t xml:space="preserve"> </w:t>
      </w:r>
      <w:r>
        <w:t>bio</w:t>
      </w:r>
      <w:r w:rsidRPr="00AB19FF">
        <w:t>kütus</w:t>
      </w:r>
      <w:r>
        <w:t>t</w:t>
      </w:r>
      <w:r w:rsidRPr="00AB19FF">
        <w:t>el baseeruv energiatootmine</w:t>
      </w:r>
      <w:r>
        <w:t xml:space="preserve"> tõstab </w:t>
      </w:r>
      <w:proofErr w:type="spellStart"/>
      <w:r>
        <w:t>energiajulgeolekt</w:t>
      </w:r>
      <w:proofErr w:type="spellEnd"/>
      <w:r>
        <w:t xml:space="preserve"> ning tagab varustuskindluse. Varustuskindluse tagamiseks on vajalikud ka investeeringud tipukoormuste katmiseks ning kaugküttevõrgu arendamiseks. Tipukoormuse katmiseks avati 2014 aastal uus </w:t>
      </w:r>
      <w:proofErr w:type="spellStart"/>
      <w:r>
        <w:t>Ropka</w:t>
      </w:r>
      <w:proofErr w:type="spellEnd"/>
      <w:r>
        <w:t xml:space="preserve"> katlamaja, mis pannakse tööle ainult sel juhul, kui ilm on väga külm või mõni puitu ja turvast kasutav katlamaja või elektrijaam pole töökorras – seega on toasoe tagatud ka mõne muu katlamaja rikke korral. </w:t>
      </w:r>
    </w:p>
    <w:p w:rsidR="002D6639" w:rsidRDefault="002D6639" w:rsidP="002D6639">
      <w:pPr>
        <w:jc w:val="both"/>
      </w:pPr>
      <w:r>
        <w:t>Tehnoloogia areng toob kaasa ka uusi soojuse tootmisviise. Kaugküte pakub väga head võimalust ka uute efektiivsete ja keskkonnasõbralike energiatootmislahenduste integreerimiseks. Kui lokaalse lahenduse puhul tuleb uue lahenduse kasutuselevõtuks vana lahendus täielikult asendada, siis kaugküte võimaldab uusi lahendusi järk-järgult lisada paindlikult ning madalama riskiga juba olemasolevasse kaugküttesüsteemi. Nii näiteks on Tartus investeeritud tööstuse jääksoojuse kasutamisse kaugküttes (Kroonpress), samuti on teostamisel investeering kaugjahutusvõrgu jääksoojuse kasutamiseks kaugküttes.</w:t>
      </w:r>
    </w:p>
    <w:p w:rsidR="002D6639" w:rsidRPr="00276819" w:rsidRDefault="002D6639" w:rsidP="002D6639">
      <w:pPr>
        <w:jc w:val="both"/>
      </w:pPr>
      <w:r>
        <w:t>Soojusvarustuse süsteeme saab võrrelda primaarenergia teguri (</w:t>
      </w:r>
      <w:r w:rsidRPr="00FD4731">
        <w:rPr>
          <w:i/>
        </w:rPr>
        <w:t xml:space="preserve">PEF – </w:t>
      </w:r>
      <w:proofErr w:type="spellStart"/>
      <w:r w:rsidRPr="00FD4731">
        <w:rPr>
          <w:i/>
        </w:rPr>
        <w:t>primary</w:t>
      </w:r>
      <w:proofErr w:type="spellEnd"/>
      <w:r w:rsidRPr="00FD4731">
        <w:rPr>
          <w:i/>
        </w:rPr>
        <w:t xml:space="preserve"> </w:t>
      </w:r>
      <w:proofErr w:type="spellStart"/>
      <w:r w:rsidRPr="00FD4731">
        <w:rPr>
          <w:i/>
        </w:rPr>
        <w:t>energy</w:t>
      </w:r>
      <w:proofErr w:type="spellEnd"/>
      <w:r w:rsidRPr="00FD4731">
        <w:rPr>
          <w:i/>
        </w:rPr>
        <w:t xml:space="preserve"> </w:t>
      </w:r>
      <w:proofErr w:type="spellStart"/>
      <w:r w:rsidRPr="00FD4731">
        <w:rPr>
          <w:i/>
        </w:rPr>
        <w:t>factor</w:t>
      </w:r>
      <w:proofErr w:type="spellEnd"/>
      <w:r>
        <w:t xml:space="preserve">) kaudu. Selline hinnang hõlmab kogu energiatsüklit – tootmisest kuni kohaletoimetamiseni. Mida väiksem on primaarenergia </w:t>
      </w:r>
      <w:proofErr w:type="spellStart"/>
      <w:r>
        <w:t>aksutus</w:t>
      </w:r>
      <w:proofErr w:type="spellEnd"/>
      <w:r>
        <w:t xml:space="preserve"> seda tõhusam ja keskkonnasõbralikum on kütteviis. Kaugkütte keskmine PEF 32 Euroopa riigis on 0,8. sama ajal näiteks elektrikütet PEF on 2,5, lokaalsel gaasiküttel 1,3 ja soojuspumpadel 0,9.  </w:t>
      </w:r>
      <w:r w:rsidRPr="00FD4731">
        <w:rPr>
          <w:i/>
        </w:rPr>
        <w:t xml:space="preserve">(Allikas: </w:t>
      </w:r>
      <w:proofErr w:type="spellStart"/>
      <w:r w:rsidRPr="00FD4731">
        <w:rPr>
          <w:i/>
        </w:rPr>
        <w:t>Ecoheatcool</w:t>
      </w:r>
      <w:proofErr w:type="spellEnd"/>
      <w:r w:rsidRPr="00FD4731">
        <w:rPr>
          <w:i/>
        </w:rPr>
        <w:t xml:space="preserve"> Project)</w:t>
      </w:r>
    </w:p>
    <w:p w:rsidR="002D6639" w:rsidRPr="00D11216" w:rsidRDefault="002D6639" w:rsidP="002D6639"/>
    <w:p w:rsidR="002D6639" w:rsidRPr="001D75D5" w:rsidRDefault="002D6639" w:rsidP="002D6639">
      <w:pPr>
        <w:pStyle w:val="Heading3"/>
        <w:numPr>
          <w:ilvl w:val="0"/>
          <w:numId w:val="0"/>
        </w:numPr>
        <w:ind w:left="357"/>
        <w:rPr>
          <w:sz w:val="26"/>
          <w:szCs w:val="26"/>
        </w:rPr>
      </w:pPr>
      <w:bookmarkStart w:id="6" w:name="_Toc117311023"/>
      <w:r w:rsidRPr="001D75D5">
        <w:rPr>
          <w:sz w:val="26"/>
          <w:szCs w:val="26"/>
        </w:rPr>
        <w:t>4.1.</w:t>
      </w:r>
      <w:r w:rsidRPr="001D75D5">
        <w:rPr>
          <w:sz w:val="26"/>
          <w:szCs w:val="26"/>
        </w:rPr>
        <w:tab/>
        <w:t>Kaugküttepiirkonna mõiste</w:t>
      </w:r>
      <w:bookmarkEnd w:id="6"/>
    </w:p>
    <w:p w:rsidR="002D6639" w:rsidRDefault="002D6639" w:rsidP="002D6639">
      <w:pPr>
        <w:autoSpaceDE w:val="0"/>
        <w:autoSpaceDN w:val="0"/>
        <w:adjustRightInd w:val="0"/>
        <w:jc w:val="both"/>
      </w:pPr>
      <w:r>
        <w:t xml:space="preserve">Kaugküttepiirkond määrati Tartu Linnavolikogu määrusega nr 125 06.10.2005.a. Tartu linna üldplaneeringu </w:t>
      </w:r>
      <w:proofErr w:type="spellStart"/>
      <w:r>
        <w:t>kehtestamineˇ</w:t>
      </w:r>
      <w:proofErr w:type="spellEnd"/>
      <w:r>
        <w:t xml:space="preserve">. Kaugküttepiirkond on maa-ala, millel asuvate </w:t>
      </w:r>
      <w:proofErr w:type="spellStart"/>
      <w:r>
        <w:t>tarbijapaigaldiste</w:t>
      </w:r>
      <w:proofErr w:type="spellEnd"/>
      <w:r>
        <w:t xml:space="preserve"> varustamiseks soojusega kasutatakse kaugkütet. </w:t>
      </w:r>
    </w:p>
    <w:p w:rsidR="002D6639" w:rsidRDefault="002D6639" w:rsidP="002D6639">
      <w:pPr>
        <w:autoSpaceDE w:val="0"/>
        <w:autoSpaceDN w:val="0"/>
        <w:adjustRightInd w:val="0"/>
        <w:jc w:val="both"/>
      </w:pPr>
      <w:r>
        <w:t xml:space="preserve">Kaugküttepiirkond on määratud eesmärgiga tagada kindel, usaldusväärne, efektiivne, põhjendatud hinnaga ning keskkonnanõuetele ja tarbijate vajadustele vastav soojusvarustus, mis arvestab linna planeeritud hoonestuse ja infrastruktuuri arenguga. Kaugküttepiirkonna määramine vastab Tartu Linnavolikogu 17. detsembri 1998. a määruses nr 67 "Tartu Agenda 21 heakskiitmine" sätestatud säästva arengu eesmärkidele. </w:t>
      </w:r>
    </w:p>
    <w:p w:rsidR="002D6639" w:rsidRDefault="002D6639" w:rsidP="002D6639">
      <w:pPr>
        <w:autoSpaceDE w:val="0"/>
        <w:autoSpaceDN w:val="0"/>
        <w:adjustRightInd w:val="0"/>
        <w:jc w:val="both"/>
      </w:pPr>
      <w:r>
        <w:t xml:space="preserve">Käesolevas üldplaneeringus on kavandatud kaugküttepiirkonna piiride muutmine arvestades üldplaneeringu kavandatavat maakasutust. Kaugküttepiirkonna määramisel on prioriteediks välisõhu </w:t>
      </w:r>
      <w:r>
        <w:lastRenderedPageBreak/>
        <w:t>kaitstuse, hoonestuse säästliku energiavarustuse tagamise ning kaugküttevõrgu funktsioneerimise tagamine.</w:t>
      </w:r>
    </w:p>
    <w:p w:rsidR="002D6639" w:rsidRDefault="002D6639" w:rsidP="002D6639">
      <w:pPr>
        <w:autoSpaceDE w:val="0"/>
        <w:autoSpaceDN w:val="0"/>
        <w:adjustRightInd w:val="0"/>
        <w:jc w:val="both"/>
      </w:pPr>
      <w:r>
        <w:t xml:space="preserve">Kaugküttepiirkond määratakse eeldusel, et kaugküttevõrgu katlamajades kasutatakse soojuse tootmiseks valdavalt biomassi. </w:t>
      </w:r>
    </w:p>
    <w:p w:rsidR="002D6639" w:rsidRDefault="002D6639" w:rsidP="002D6639">
      <w:pPr>
        <w:autoSpaceDE w:val="0"/>
        <w:autoSpaceDN w:val="0"/>
        <w:adjustRightInd w:val="0"/>
        <w:jc w:val="both"/>
      </w:pPr>
      <w:r>
        <w:t xml:space="preserve">Kaugküttepiirkonna määramine võimaldab soojusenergia tootmisel ulatuslikult kasutada taastuvaid energiaallikaid ning rakendada soojusenergia ja elektrienergia koostootmisel saadavat keskkonnasäästu, samuti tagab väljaehitatud kaugüttevõrgu säilimise ja arengu. Kaugkütte piirkonnas tegutsevad soojusettevõtjad peavad oma arendustegevusega tagama kaugkütteseaduses ja käesolevas üldplaneeringus määratud kaugküttepiirkonna eesmärkide saavutamise. </w:t>
      </w:r>
    </w:p>
    <w:p w:rsidR="002D6639" w:rsidRDefault="002D6639" w:rsidP="002D6639">
      <w:pPr>
        <w:autoSpaceDE w:val="0"/>
        <w:autoSpaceDN w:val="0"/>
        <w:adjustRightInd w:val="0"/>
        <w:jc w:val="both"/>
      </w:pPr>
      <w:r>
        <w:t xml:space="preserve">Kaugküttevõrgu arendamine tagab samuti erinevate kütuste kasutamise võimaluse ja sellest tuleneva suure varustuskindluse olemasolevatele ja kavandatavatele uutele tarbijatele. </w:t>
      </w:r>
    </w:p>
    <w:p w:rsidR="002D6639" w:rsidRDefault="002D6639" w:rsidP="002D6639">
      <w:pPr>
        <w:autoSpaceDE w:val="0"/>
        <w:autoSpaceDN w:val="0"/>
        <w:adjustRightInd w:val="0"/>
        <w:jc w:val="both"/>
      </w:pPr>
      <w:r>
        <w:t xml:space="preserve">Kaugküttepiirkonna väljaarendamine teenib keskkonnareostuse vähendamise eesmärki, tagades hoonete soojusenergiaga varustamisel väiksema õhureostuse tarbimispunktis. </w:t>
      </w:r>
    </w:p>
    <w:p w:rsidR="002D6639" w:rsidRDefault="002D6639" w:rsidP="002D6639">
      <w:pPr>
        <w:autoSpaceDE w:val="0"/>
        <w:autoSpaceDN w:val="0"/>
        <w:adjustRightInd w:val="0"/>
        <w:jc w:val="both"/>
      </w:pPr>
      <w:r>
        <w:t xml:space="preserve">Soojuse hinna põhjendatus tagatakse soojuse piirhinna kujundamise ja kooskõlastamise kaudu vastavalt kaugkütteseaduse §-dele 8 ja 9. </w:t>
      </w:r>
    </w:p>
    <w:p w:rsidR="002D6639" w:rsidRDefault="002D6639" w:rsidP="002D6639">
      <w:pPr>
        <w:pStyle w:val="BodyText"/>
        <w:autoSpaceDE w:val="0"/>
        <w:autoSpaceDN w:val="0"/>
        <w:adjustRightInd w:val="0"/>
      </w:pPr>
      <w:r>
        <w:t>Kui tekstis ei ole sätestatud teisiti, tähistab mõiste "soojusettevõtja" edaspidi nii võrguettevõtjat kui ka soojusettevõtjat.</w:t>
      </w:r>
    </w:p>
    <w:p w:rsidR="001D75D5" w:rsidRDefault="001D75D5" w:rsidP="002D6639">
      <w:pPr>
        <w:pStyle w:val="BodyText"/>
        <w:autoSpaceDE w:val="0"/>
        <w:autoSpaceDN w:val="0"/>
        <w:adjustRightInd w:val="0"/>
      </w:pPr>
    </w:p>
    <w:p w:rsidR="002D6639" w:rsidRDefault="002D6639" w:rsidP="002D6639">
      <w:pPr>
        <w:pStyle w:val="Heading2"/>
        <w:autoSpaceDE w:val="0"/>
        <w:autoSpaceDN w:val="0"/>
        <w:adjustRightInd w:val="0"/>
        <w:jc w:val="both"/>
      </w:pPr>
      <w:bookmarkStart w:id="7" w:name="_Toc117311024"/>
      <w:r>
        <w:t>Kaugküttepiirkonna piirid</w:t>
      </w:r>
      <w:bookmarkEnd w:id="7"/>
    </w:p>
    <w:p w:rsidR="002D6639" w:rsidRDefault="002D6639" w:rsidP="002D6639">
      <w:pPr>
        <w:pStyle w:val="BodyText2"/>
      </w:pPr>
      <w:r>
        <w:t xml:space="preserve">Kaugkütte piirkonna piirid ja soojusvarustuse realiseerimiseks </w:t>
      </w:r>
      <w:r w:rsidR="001D75D5">
        <w:t xml:space="preserve">vajalikud soojusvõrgu torustike </w:t>
      </w:r>
      <w:r>
        <w:t>asukohad on toodud kaardil Tartu Kaugküttepiirkond.</w:t>
      </w:r>
    </w:p>
    <w:p w:rsidR="002D6639" w:rsidRDefault="002D6639" w:rsidP="002D6639">
      <w:pPr>
        <w:pStyle w:val="Heading2"/>
      </w:pPr>
      <w:bookmarkStart w:id="8" w:name="_Toc117311025"/>
      <w:r>
        <w:t>Võrguga liitumise ning võrgust eraldumise tingimused ja kord kaugküttepiirkonnas</w:t>
      </w:r>
      <w:bookmarkEnd w:id="8"/>
    </w:p>
    <w:p w:rsidR="002D6639" w:rsidRDefault="002D6639" w:rsidP="002D6639">
      <w:pPr>
        <w:tabs>
          <w:tab w:val="left" w:pos="357"/>
          <w:tab w:val="left" w:pos="1077"/>
          <w:tab w:val="left" w:pos="1437"/>
        </w:tabs>
        <w:autoSpaceDE w:val="0"/>
        <w:autoSpaceDN w:val="0"/>
        <w:adjustRightInd w:val="0"/>
        <w:spacing w:before="240" w:after="60"/>
        <w:jc w:val="both"/>
      </w:pPr>
      <w:r>
        <w:t xml:space="preserve"> Kaugküttevõrguga liitumiseks esitab tarbija taotluse soojusettevõtjale.</w:t>
      </w:r>
    </w:p>
    <w:p w:rsidR="002D6639" w:rsidRDefault="00E9034F" w:rsidP="002D6639">
      <w:pPr>
        <w:pStyle w:val="Heading1"/>
        <w:numPr>
          <w:ilvl w:val="0"/>
          <w:numId w:val="0"/>
        </w:numPr>
        <w:ind w:left="432" w:hanging="432"/>
      </w:pPr>
      <w:r>
        <w:t>4.3</w:t>
      </w:r>
      <w:r w:rsidR="002D6639">
        <w:t xml:space="preserve">.  </w:t>
      </w:r>
      <w:r w:rsidR="002D6639" w:rsidRPr="002D6639">
        <w:rPr>
          <w:sz w:val="26"/>
          <w:szCs w:val="26"/>
        </w:rPr>
        <w:t>Planeeritava ja projekteeritava ehitise kaugküttevõrku liitumine</w:t>
      </w:r>
    </w:p>
    <w:p w:rsidR="002D6639" w:rsidRDefault="002D6639" w:rsidP="002D6639">
      <w:pPr>
        <w:autoSpaceDE w:val="0"/>
        <w:autoSpaceDN w:val="0"/>
        <w:adjustRightInd w:val="0"/>
        <w:jc w:val="both"/>
      </w:pPr>
      <w:r>
        <w:t>Ehitis planeeritakse ja projekteeritakse kaugküttevõrku liidetavana, välja arvatud:</w:t>
      </w:r>
    </w:p>
    <w:p w:rsidR="002D6639" w:rsidRDefault="002D6639" w:rsidP="002D6639">
      <w:pPr>
        <w:numPr>
          <w:ilvl w:val="0"/>
          <w:numId w:val="34"/>
        </w:numPr>
        <w:autoSpaceDE w:val="0"/>
        <w:autoSpaceDN w:val="0"/>
        <w:adjustRightInd w:val="0"/>
        <w:spacing w:after="0" w:line="240" w:lineRule="auto"/>
        <w:jc w:val="both"/>
      </w:pPr>
      <w:r>
        <w:t xml:space="preserve">ühe korteriga (11100*), kahe ja mitme korteriga elamud (11200*) ning mitteelamud (1200*), mille maksimaalne projekteeritud võimsus (küte, ventilatsioon, sooja vee tootmine elamute 11000* puhul) on alla 40 kW (* – vastavalt majandus- ja kommunikatsiooniministri 26.11.2002. a määrusele nr 10 “Ehitiste kasutamise otstarvete loetelu”); </w:t>
      </w:r>
    </w:p>
    <w:p w:rsidR="002D6639" w:rsidRDefault="002D6639" w:rsidP="002D6639">
      <w:pPr>
        <w:numPr>
          <w:ilvl w:val="0"/>
          <w:numId w:val="34"/>
        </w:numPr>
        <w:autoSpaceDE w:val="0"/>
        <w:autoSpaceDN w:val="0"/>
        <w:adjustRightInd w:val="0"/>
        <w:spacing w:after="0" w:line="240" w:lineRule="auto"/>
        <w:jc w:val="both"/>
      </w:pPr>
      <w:r>
        <w:t>hooned (hoonete grupid), mille projekteeritud summaarne maksimumvõimsus jagatuna ühendustorustiku pikkusega on väiksem väärtusest 2 kW/m. Arvutuste aluseks olev ühendustorustiku pikkus on soojusettevõtja poolt väljastatud projekteerimise tehnilistes tingimustes määratud ühenduspunkt kaugkütte torustikuga ja liidetava hoone soojusmõõtja vaheline kaugus (m);</w:t>
      </w:r>
    </w:p>
    <w:p w:rsidR="002D6639" w:rsidRDefault="002D6639" w:rsidP="002D6639">
      <w:pPr>
        <w:numPr>
          <w:ilvl w:val="0"/>
          <w:numId w:val="34"/>
        </w:numPr>
        <w:autoSpaceDE w:val="0"/>
        <w:autoSpaceDN w:val="0"/>
        <w:adjustRightInd w:val="0"/>
        <w:spacing w:after="0" w:line="240" w:lineRule="auto"/>
        <w:jc w:val="both"/>
      </w:pPr>
      <w:r>
        <w:lastRenderedPageBreak/>
        <w:t>hooned, mille soojusvarustus projekteeritakse ökoloogiliselt puhtamale või</w:t>
      </w:r>
      <w:r>
        <w:rPr>
          <w:color w:val="FF0000"/>
        </w:rPr>
        <w:t xml:space="preserve"> </w:t>
      </w:r>
      <w:r>
        <w:t xml:space="preserve">vähem kohalikku õhusaastet põhjustavale [siin ja allpool: maasoojus, päikese-, tuule- või hüdroenergia, biogaas ja elekter] kütteviisile; </w:t>
      </w:r>
    </w:p>
    <w:p w:rsidR="002D6639" w:rsidRDefault="002D6639" w:rsidP="002D6639">
      <w:pPr>
        <w:numPr>
          <w:ilvl w:val="0"/>
          <w:numId w:val="34"/>
        </w:numPr>
        <w:autoSpaceDE w:val="0"/>
        <w:autoSpaceDN w:val="0"/>
        <w:adjustRightInd w:val="0"/>
        <w:spacing w:after="0" w:line="240" w:lineRule="auto"/>
        <w:jc w:val="both"/>
      </w:pPr>
      <w:r>
        <w:t>äri- ja tootmismaa sihtotstarbega hoonetel, juhul kui soojusenergiat tarvitatakse ka tehnoloogiliseks otstarbeks vähemalt samas mahus kütmisele kuluva soojusenergiaga. Liitumise vajadus täpsustatakse ehitise projekteerimise käigus arvutuslike parameetrite alusel.</w:t>
      </w:r>
    </w:p>
    <w:p w:rsidR="002D6639" w:rsidRPr="00E9034F" w:rsidRDefault="00E9034F" w:rsidP="00E9034F">
      <w:pPr>
        <w:pStyle w:val="Heading1"/>
        <w:numPr>
          <w:ilvl w:val="0"/>
          <w:numId w:val="0"/>
        </w:numPr>
        <w:rPr>
          <w:sz w:val="26"/>
          <w:szCs w:val="26"/>
        </w:rPr>
      </w:pPr>
      <w:r>
        <w:rPr>
          <w:sz w:val="26"/>
          <w:szCs w:val="26"/>
        </w:rPr>
        <w:t>4.4</w:t>
      </w:r>
      <w:r w:rsidRPr="00E9034F">
        <w:rPr>
          <w:sz w:val="26"/>
          <w:szCs w:val="26"/>
        </w:rPr>
        <w:t>.</w:t>
      </w:r>
      <w:r w:rsidR="002D6639" w:rsidRPr="00E9034F">
        <w:rPr>
          <w:sz w:val="26"/>
          <w:szCs w:val="26"/>
        </w:rPr>
        <w:tab/>
        <w:t>Olemasoleva hoone kaugküttevõrguga liitumine küttesüsteemi rekonstrueerimisel</w:t>
      </w:r>
    </w:p>
    <w:p w:rsidR="002D6639" w:rsidRDefault="002D6639" w:rsidP="002D6639">
      <w:pPr>
        <w:autoSpaceDE w:val="0"/>
        <w:autoSpaceDN w:val="0"/>
        <w:adjustRightInd w:val="0"/>
        <w:ind w:firstLine="709"/>
        <w:jc w:val="both"/>
      </w:pPr>
      <w:r>
        <w:t>Olemasolevad hooned liituvad küttesüsteemi rekonstrueerimisel kaugküttevõrguga, välja arvatud:</w:t>
      </w:r>
    </w:p>
    <w:p w:rsidR="002D6639" w:rsidRDefault="002D6639" w:rsidP="002D6639">
      <w:pPr>
        <w:numPr>
          <w:ilvl w:val="0"/>
          <w:numId w:val="34"/>
        </w:numPr>
        <w:autoSpaceDE w:val="0"/>
        <w:autoSpaceDN w:val="0"/>
        <w:adjustRightInd w:val="0"/>
        <w:spacing w:after="0" w:line="240" w:lineRule="auto"/>
        <w:jc w:val="both"/>
      </w:pPr>
      <w:r>
        <w:t xml:space="preserve">ühe korteriga (11100*) ning kahe ja mitme korteriga elamud (11200*) ning mitteelamud (1200*), mille maksimaalne projekteeritud võimsus (küte, ventilatsioon, sooja vee tootmine elamute 11000* korral) on alla 40 kW (* – vastavalt majandus- ja kommunikatsiooniministri 26.11.2002. a määrusele nr 10 “Ehitiste kasutamise otstarvete loetelu”); </w:t>
      </w:r>
    </w:p>
    <w:p w:rsidR="002D6639" w:rsidRDefault="002D6639" w:rsidP="002D6639">
      <w:pPr>
        <w:numPr>
          <w:ilvl w:val="0"/>
          <w:numId w:val="34"/>
        </w:numPr>
        <w:autoSpaceDE w:val="0"/>
        <w:autoSpaceDN w:val="0"/>
        <w:adjustRightInd w:val="0"/>
        <w:spacing w:after="0" w:line="240" w:lineRule="auto"/>
        <w:jc w:val="both"/>
      </w:pPr>
      <w:r>
        <w:t xml:space="preserve">hooned (hoonete grupid), mille projekteeritud summaarne maksimumvõimsus jagatuna ühendustorustiku pikkusega on väiksem väärtusest 2 kW/m. Arvutuste aluseks olev ühendustorustiku pikkus on soojusettevõtja poolt väljastatud projekteerimise tehnilistes tingimustes määratud ühenduspunkt kaugkütte torustikuga ja liidetava hoone soojusmõõtja vaheline kaugus (m); </w:t>
      </w:r>
    </w:p>
    <w:p w:rsidR="002D6639" w:rsidRDefault="002D6639" w:rsidP="002D6639">
      <w:pPr>
        <w:numPr>
          <w:ilvl w:val="0"/>
          <w:numId w:val="35"/>
        </w:numPr>
        <w:tabs>
          <w:tab w:val="left" w:pos="720"/>
        </w:tabs>
        <w:autoSpaceDE w:val="0"/>
        <w:autoSpaceDN w:val="0"/>
        <w:adjustRightInd w:val="0"/>
        <w:spacing w:after="0" w:line="240" w:lineRule="auto"/>
        <w:jc w:val="both"/>
      </w:pPr>
      <w:r>
        <w:t>hoonetes ökoloogiliselt puhtama või vähem kohalikku õhusaastet tekitava kütteviisi kasutamise korral;</w:t>
      </w:r>
    </w:p>
    <w:p w:rsidR="002D6639" w:rsidRDefault="002D6639" w:rsidP="002D6639">
      <w:pPr>
        <w:numPr>
          <w:ilvl w:val="0"/>
          <w:numId w:val="35"/>
        </w:numPr>
        <w:tabs>
          <w:tab w:val="left" w:pos="720"/>
        </w:tabs>
        <w:autoSpaceDE w:val="0"/>
        <w:autoSpaceDN w:val="0"/>
        <w:adjustRightInd w:val="0"/>
        <w:spacing w:after="0" w:line="240" w:lineRule="auto"/>
        <w:jc w:val="both"/>
      </w:pPr>
      <w:r>
        <w:t>äri- ja tootmismaa sihtotstarbega hoonetel, juhul kui soojusenergiat tarvitatakse ka tehnoloogiliseks otstarbeks vähemalt samas mahus kütmisele kuluva soojusenergiaga. Liitumise vajadus täpsustatakse ehitise projekteerimise käigus arvutuslike parameetrite alusel.</w:t>
      </w:r>
    </w:p>
    <w:p w:rsidR="002D6639" w:rsidRPr="00E9034F" w:rsidRDefault="00E9034F" w:rsidP="00E9034F">
      <w:pPr>
        <w:pStyle w:val="Heading1"/>
        <w:numPr>
          <w:ilvl w:val="0"/>
          <w:numId w:val="0"/>
        </w:numPr>
        <w:rPr>
          <w:sz w:val="26"/>
          <w:szCs w:val="26"/>
        </w:rPr>
      </w:pPr>
      <w:r w:rsidRPr="00E9034F">
        <w:rPr>
          <w:sz w:val="26"/>
          <w:szCs w:val="26"/>
        </w:rPr>
        <w:t>4.5.</w:t>
      </w:r>
      <w:r w:rsidR="002D6639" w:rsidRPr="00E9034F">
        <w:rPr>
          <w:sz w:val="26"/>
          <w:szCs w:val="26"/>
        </w:rPr>
        <w:t xml:space="preserve"> </w:t>
      </w:r>
      <w:r w:rsidR="002D6639" w:rsidRPr="00E9034F">
        <w:rPr>
          <w:sz w:val="26"/>
          <w:szCs w:val="26"/>
        </w:rPr>
        <w:tab/>
        <w:t>Kaugküttevõrgust eraldumine</w:t>
      </w:r>
    </w:p>
    <w:p w:rsidR="002D6639" w:rsidRDefault="002D6639" w:rsidP="002D6639">
      <w:pPr>
        <w:autoSpaceDE w:val="0"/>
        <w:autoSpaceDN w:val="0"/>
        <w:adjustRightInd w:val="0"/>
        <w:jc w:val="both"/>
      </w:pPr>
      <w:r>
        <w:t>Kaugküttevõrgust võib eralduda:</w:t>
      </w:r>
    </w:p>
    <w:p w:rsidR="002D6639" w:rsidRDefault="002D6639" w:rsidP="002D6639">
      <w:pPr>
        <w:numPr>
          <w:ilvl w:val="0"/>
          <w:numId w:val="36"/>
        </w:numPr>
        <w:autoSpaceDE w:val="0"/>
        <w:autoSpaceDN w:val="0"/>
        <w:adjustRightInd w:val="0"/>
        <w:spacing w:after="0" w:line="240" w:lineRule="auto"/>
        <w:jc w:val="both"/>
      </w:pPr>
      <w:r>
        <w:t>kui taotleja kavatseb üle minna ökoloogiliselt puhtamale kütteviisile ja uue küttesüsteemi töökindlus ei ole väiksem kaugküttesüsteemi poolt tagatavast töökindlusest;</w:t>
      </w:r>
    </w:p>
    <w:p w:rsidR="002D6639" w:rsidRDefault="002D6639" w:rsidP="002D6639">
      <w:pPr>
        <w:numPr>
          <w:ilvl w:val="0"/>
          <w:numId w:val="36"/>
        </w:numPr>
        <w:autoSpaceDE w:val="0"/>
        <w:autoSpaceDN w:val="0"/>
        <w:adjustRightInd w:val="0"/>
        <w:spacing w:after="0" w:line="240" w:lineRule="auto"/>
        <w:jc w:val="both"/>
      </w:pPr>
      <w:r>
        <w:t>kui kaugküttevõrku liidetud hoone lammutatakse;</w:t>
      </w:r>
    </w:p>
    <w:p w:rsidR="002D6639" w:rsidRDefault="002D6639" w:rsidP="002D6639">
      <w:pPr>
        <w:numPr>
          <w:ilvl w:val="0"/>
          <w:numId w:val="36"/>
        </w:numPr>
        <w:autoSpaceDE w:val="0"/>
        <w:autoSpaceDN w:val="0"/>
        <w:adjustRightInd w:val="0"/>
        <w:spacing w:after="0" w:line="240" w:lineRule="auto"/>
        <w:jc w:val="both"/>
      </w:pPr>
      <w:r>
        <w:t>tarbija ja soojusettevõtja vahel sõlmitud lepingus sätestatud muudel juhtudel, kui see ei ole vastuolus kaugküttepiirkonna määramise põhimõtetega;</w:t>
      </w:r>
    </w:p>
    <w:p w:rsidR="002D6639" w:rsidRDefault="002D6639" w:rsidP="002D6639">
      <w:pPr>
        <w:numPr>
          <w:ilvl w:val="0"/>
          <w:numId w:val="36"/>
        </w:numPr>
        <w:autoSpaceDE w:val="0"/>
        <w:autoSpaceDN w:val="0"/>
        <w:adjustRightInd w:val="0"/>
        <w:spacing w:after="0" w:line="240" w:lineRule="auto"/>
        <w:jc w:val="both"/>
      </w:pPr>
      <w:r>
        <w:t>kaugküttevõrgust eraldumise peab heaks kiitma Tartu Linnavalitsus. Kaugküttevõrgust eraldumise taotlus koos põhjendusega esitatakse Tartu Linnavalitsuse linnaplaneerimise ja maakorralduse osakonnale.</w:t>
      </w:r>
    </w:p>
    <w:p w:rsidR="002D6639" w:rsidRDefault="002D6639" w:rsidP="002D6639">
      <w:pPr>
        <w:autoSpaceDE w:val="0"/>
        <w:autoSpaceDN w:val="0"/>
        <w:adjustRightInd w:val="0"/>
        <w:jc w:val="both"/>
      </w:pPr>
      <w:r>
        <w:t xml:space="preserve">Kaugküttevõrgust eraldumisel tuleb soojusettevõtjaga eelnevalt leppida kokku ühendustorustiku ohutu säilitamise või likvideerimise osas. </w:t>
      </w:r>
    </w:p>
    <w:p w:rsidR="002D6639" w:rsidRPr="00E9034F" w:rsidRDefault="00E9034F" w:rsidP="00E9034F">
      <w:pPr>
        <w:pStyle w:val="Heading3"/>
        <w:numPr>
          <w:ilvl w:val="0"/>
          <w:numId w:val="0"/>
        </w:numPr>
        <w:ind w:left="-363"/>
        <w:rPr>
          <w:sz w:val="26"/>
          <w:szCs w:val="26"/>
        </w:rPr>
      </w:pPr>
      <w:bookmarkStart w:id="9" w:name="_Toc117311026"/>
      <w:r>
        <w:rPr>
          <w:sz w:val="26"/>
          <w:szCs w:val="26"/>
        </w:rPr>
        <w:t xml:space="preserve">       4.6.  </w:t>
      </w:r>
      <w:r w:rsidR="002D6639" w:rsidRPr="00E9034F">
        <w:rPr>
          <w:sz w:val="26"/>
          <w:szCs w:val="26"/>
        </w:rPr>
        <w:t>Kaugkütte üldised kvaliteedinõuded</w:t>
      </w:r>
      <w:bookmarkEnd w:id="9"/>
    </w:p>
    <w:p w:rsidR="002D6639" w:rsidRDefault="002D6639" w:rsidP="002D6639">
      <w:pPr>
        <w:autoSpaceDE w:val="0"/>
        <w:autoSpaceDN w:val="0"/>
        <w:adjustRightInd w:val="0"/>
        <w:jc w:val="both"/>
      </w:pPr>
      <w:r>
        <w:t>Soojuskandja parameetrid (rõhk, temperatuur) peavad tagama liitumis- või müügilepinguga määratletud parameetrite täitmise kõigile tarbijatele.</w:t>
      </w:r>
    </w:p>
    <w:p w:rsidR="002D6639" w:rsidRDefault="002D6639" w:rsidP="002D6639">
      <w:pPr>
        <w:autoSpaceDE w:val="0"/>
        <w:autoSpaceDN w:val="0"/>
        <w:adjustRightInd w:val="0"/>
        <w:jc w:val="both"/>
      </w:pPr>
      <w:r>
        <w:lastRenderedPageBreak/>
        <w:t>Remondi- ja hooldustöödest tingitud katkestuste kestus peab vastama liitumis- või müügilepingus määratud tingimustele, kuid selle keskmine summaarne katkestuse pikkus ühele kliendile aastas ei tohi olla üle 48 tunni. Remondi- ja hooldustöödega seonduvatest katkestamistest peab soojusettevõtja tarbijat teavitama vähemalt 24 tundi enne katkestamise algust, kui seaduses või lepingus ei ole sätestatud teisiti.</w:t>
      </w:r>
    </w:p>
    <w:p w:rsidR="002D6639" w:rsidRDefault="002D6639" w:rsidP="002D6639">
      <w:pPr>
        <w:autoSpaceDE w:val="0"/>
        <w:autoSpaceDN w:val="0"/>
        <w:adjustRightInd w:val="0"/>
        <w:jc w:val="both"/>
      </w:pPr>
      <w:r>
        <w:t>Soojusettevõtja tagab rikete ja avariide kõrvaldamise oma võrgu tarbijatele liitumispunktini, kui ei ole kokku lepitud teisiti. Juhul, kui rikke kõrvaldamine toob kaasa katkestuse teistele tarbijatele, tuleb soojusettevõtjal ka neid katkestusest teavitada.</w:t>
      </w:r>
    </w:p>
    <w:p w:rsidR="002D6639" w:rsidRPr="00E9034F" w:rsidRDefault="00E9034F" w:rsidP="00E9034F">
      <w:pPr>
        <w:pStyle w:val="Heading3"/>
        <w:numPr>
          <w:ilvl w:val="0"/>
          <w:numId w:val="0"/>
        </w:numPr>
        <w:rPr>
          <w:sz w:val="26"/>
          <w:szCs w:val="26"/>
        </w:rPr>
      </w:pPr>
      <w:bookmarkStart w:id="10" w:name="_Toc117311027"/>
      <w:r w:rsidRPr="00E9034F">
        <w:rPr>
          <w:sz w:val="26"/>
          <w:szCs w:val="26"/>
        </w:rPr>
        <w:t>4.7.</w:t>
      </w:r>
      <w:r w:rsidR="002D6639" w:rsidRPr="00E9034F">
        <w:rPr>
          <w:sz w:val="26"/>
          <w:szCs w:val="26"/>
        </w:rPr>
        <w:tab/>
        <w:t>Soojuse piirhinna kooskõlastamise kord</w:t>
      </w:r>
      <w:bookmarkEnd w:id="10"/>
    </w:p>
    <w:p w:rsidR="002D6639" w:rsidRDefault="002D6639" w:rsidP="002D6639">
      <w:pPr>
        <w:tabs>
          <w:tab w:val="left" w:pos="789"/>
        </w:tabs>
        <w:autoSpaceDE w:val="0"/>
        <w:autoSpaceDN w:val="0"/>
        <w:adjustRightInd w:val="0"/>
        <w:ind w:firstLine="709"/>
        <w:jc w:val="both"/>
      </w:pPr>
      <w:r>
        <w:t xml:space="preserve">Kaugküttevõrgu kaudu müüdava soojusenergia piirhinna kooskõlastamine ja kehtestamine toimub kaugkütteseaduses sätestatud korras. </w:t>
      </w:r>
    </w:p>
    <w:p w:rsidR="002D6639" w:rsidRDefault="002D6639" w:rsidP="002D6639">
      <w:pPr>
        <w:tabs>
          <w:tab w:val="left" w:pos="789"/>
        </w:tabs>
        <w:autoSpaceDE w:val="0"/>
        <w:autoSpaceDN w:val="0"/>
        <w:adjustRightInd w:val="0"/>
        <w:ind w:firstLine="709"/>
        <w:jc w:val="both"/>
      </w:pPr>
      <w:r>
        <w:t>Soojusettevõtjad, kes ei pea kooskõlastama müüdava soojuse hinda energiaturu inspektsiooniga, esitavad taotluse piirhinna kehtestamiseks Tartu Linnavalitsusele. Taotluse lisades peavad olema toodud majanduslikud kalkulatsioonid, mis võimaldavad hinnata vajalike tegevuskulude, samuti arenguks vajalike kulude, keskkonna-, ohutus- ja kvaliteedinõuete täitmiseks vajalike kulude ning põhjendatud tulukuse tagatust. Tartu Linnavalitsus otsustab piirhinna kooskõlastamise 30 päeva jooksul nõuetekohaste dokumentide esitamise päevast arvates.</w:t>
      </w:r>
    </w:p>
    <w:p w:rsidR="002D6639" w:rsidRDefault="002D6639" w:rsidP="002D6639">
      <w:pPr>
        <w:tabs>
          <w:tab w:val="left" w:pos="789"/>
        </w:tabs>
        <w:autoSpaceDE w:val="0"/>
        <w:autoSpaceDN w:val="0"/>
        <w:adjustRightInd w:val="0"/>
        <w:ind w:firstLine="709"/>
        <w:jc w:val="both"/>
      </w:pPr>
      <w:r>
        <w:t xml:space="preserve">Hind avalikustatakse vähemalt kolm kuud enne selle kehtima hakkamist ja see ei tohi olla erinevate klientide või nende gruppide suhtes diskrimineeriv. </w:t>
      </w:r>
    </w:p>
    <w:p w:rsidR="002D6639" w:rsidRPr="00E9034F" w:rsidRDefault="00E9034F" w:rsidP="00E9034F">
      <w:pPr>
        <w:pStyle w:val="Heading3"/>
        <w:numPr>
          <w:ilvl w:val="0"/>
          <w:numId w:val="0"/>
        </w:numPr>
        <w:rPr>
          <w:sz w:val="26"/>
          <w:szCs w:val="26"/>
        </w:rPr>
      </w:pPr>
      <w:bookmarkStart w:id="11" w:name="_Toc117311028"/>
      <w:r>
        <w:rPr>
          <w:sz w:val="26"/>
          <w:szCs w:val="26"/>
        </w:rPr>
        <w:t>4.8.</w:t>
      </w:r>
      <w:r w:rsidR="002D6639" w:rsidRPr="00E9034F">
        <w:rPr>
          <w:sz w:val="26"/>
          <w:szCs w:val="26"/>
        </w:rPr>
        <w:tab/>
        <w:t>Võrguettevõtja arenduskohustus</w:t>
      </w:r>
      <w:bookmarkEnd w:id="11"/>
    </w:p>
    <w:p w:rsidR="002D6639" w:rsidRDefault="002D6639" w:rsidP="002D6639">
      <w:pPr>
        <w:tabs>
          <w:tab w:val="left" w:pos="720"/>
          <w:tab w:val="left" w:pos="789"/>
        </w:tabs>
        <w:autoSpaceDE w:val="0"/>
        <w:autoSpaceDN w:val="0"/>
        <w:adjustRightInd w:val="0"/>
        <w:ind w:firstLine="357"/>
        <w:jc w:val="both"/>
      </w:pPr>
      <w:r>
        <w:rPr>
          <w:rFonts w:ascii="Symbol" w:hAnsi="Symbol"/>
        </w:rPr>
        <w:t></w:t>
      </w:r>
      <w:r>
        <w:rPr>
          <w:rFonts w:ascii="Symbol" w:hAnsi="Symbol"/>
        </w:rPr>
        <w:tab/>
      </w:r>
      <w:r>
        <w:t>Võrguettevõtja peab tegevusloa taotlemisel ja võrgu arendamisel arvestama üldplaneeringus määratud soojusvõrkude trasside ja rajatiste asukohtadega ning üldplaneeringuga kavandatud linna ruumilise arenguga. Planeeringud koostatakse koostöös võrguettevõttega optimaalse lahenduse saavutamise eesmärgil.</w:t>
      </w:r>
    </w:p>
    <w:p w:rsidR="002D6639" w:rsidRDefault="002D6639" w:rsidP="002D6639">
      <w:pPr>
        <w:tabs>
          <w:tab w:val="left" w:pos="720"/>
          <w:tab w:val="left" w:pos="789"/>
        </w:tabs>
        <w:autoSpaceDE w:val="0"/>
        <w:autoSpaceDN w:val="0"/>
        <w:adjustRightInd w:val="0"/>
        <w:ind w:firstLine="357"/>
        <w:jc w:val="both"/>
        <w:rPr>
          <w:color w:val="FF0000"/>
        </w:rPr>
      </w:pPr>
      <w:r>
        <w:rPr>
          <w:rFonts w:ascii="Symbol" w:hAnsi="Symbol"/>
        </w:rPr>
        <w:t></w:t>
      </w:r>
      <w:r>
        <w:rPr>
          <w:rFonts w:ascii="Symbol" w:hAnsi="Symbol"/>
        </w:rPr>
        <w:tab/>
      </w:r>
      <w:r>
        <w:t xml:space="preserve">Võrguettevõtja on kohustatud arendama oma võrku ja suurendama selle efektiivsust, lähtudes detailplaneeringute realiseerimise ja olemasoleva hoonestuse küttesüsteemi kaasajastamise vajadusest. </w:t>
      </w:r>
    </w:p>
    <w:p w:rsidR="002D6639" w:rsidRDefault="002D6639" w:rsidP="002D6639">
      <w:pPr>
        <w:tabs>
          <w:tab w:val="left" w:pos="720"/>
          <w:tab w:val="left" w:pos="789"/>
        </w:tabs>
        <w:autoSpaceDE w:val="0"/>
        <w:autoSpaceDN w:val="0"/>
        <w:adjustRightInd w:val="0"/>
        <w:ind w:firstLine="357"/>
        <w:jc w:val="both"/>
      </w:pPr>
      <w:r>
        <w:t xml:space="preserve">Kui kaugküttevõrgu tänavatorustik on välja ehitamata, ei tohi objekti liitumistasu suuruse ja installeeritud võimsuse suhe kaugkütte piirkonnas ületada 75 </w:t>
      </w:r>
      <w:proofErr w:type="spellStart"/>
      <w:r>
        <w:t>eurot/kW</w:t>
      </w:r>
      <w:proofErr w:type="spellEnd"/>
      <w:r>
        <w:t xml:space="preserve"> (käibemaksuta, muutub tarbijahinna indeksiga). Muudel juhtudel määratakse liitumistasu suurus seaduses sätestatud korras.</w:t>
      </w:r>
    </w:p>
    <w:p w:rsidR="002D6639" w:rsidRDefault="002D6639" w:rsidP="002D6639">
      <w:pPr>
        <w:tabs>
          <w:tab w:val="left" w:pos="720"/>
          <w:tab w:val="left" w:pos="789"/>
        </w:tabs>
        <w:autoSpaceDE w:val="0"/>
        <w:autoSpaceDN w:val="0"/>
        <w:adjustRightInd w:val="0"/>
        <w:ind w:firstLine="357"/>
        <w:jc w:val="both"/>
        <w:rPr>
          <w:color w:val="FF0000"/>
        </w:rPr>
      </w:pPr>
    </w:p>
    <w:p w:rsidR="002D6639" w:rsidRDefault="002D6639" w:rsidP="002D6639">
      <w:pPr>
        <w:tabs>
          <w:tab w:val="left" w:pos="720"/>
          <w:tab w:val="left" w:pos="789"/>
        </w:tabs>
        <w:autoSpaceDE w:val="0"/>
        <w:autoSpaceDN w:val="0"/>
        <w:adjustRightInd w:val="0"/>
        <w:ind w:firstLine="357"/>
        <w:jc w:val="both"/>
      </w:pPr>
      <w:r>
        <w:rPr>
          <w:rFonts w:ascii="Symbol" w:hAnsi="Symbol"/>
        </w:rPr>
        <w:t></w:t>
      </w:r>
      <w:r>
        <w:rPr>
          <w:rFonts w:ascii="Symbol" w:hAnsi="Symbol"/>
        </w:rPr>
        <w:tab/>
      </w:r>
      <w:r>
        <w:t xml:space="preserve">Võrguettevõtja on võrgu tehniliste võimaluste piires ja majandusliku põhjendatuse korral kohustatud ühendama oma võrguga kõik tema võrgupiirkonnas olevad tarbijad vastavalt nende liitumistaotlusele. </w:t>
      </w:r>
    </w:p>
    <w:p w:rsidR="002D6639" w:rsidRDefault="002D6639" w:rsidP="002D6639">
      <w:pPr>
        <w:tabs>
          <w:tab w:val="left" w:pos="720"/>
          <w:tab w:val="left" w:pos="789"/>
        </w:tabs>
        <w:autoSpaceDE w:val="0"/>
        <w:autoSpaceDN w:val="0"/>
        <w:adjustRightInd w:val="0"/>
        <w:ind w:firstLine="357"/>
        <w:jc w:val="both"/>
      </w:pPr>
    </w:p>
    <w:p w:rsidR="002D6639" w:rsidRDefault="002D6639" w:rsidP="002D6639">
      <w:pPr>
        <w:tabs>
          <w:tab w:val="left" w:pos="720"/>
          <w:tab w:val="left" w:pos="789"/>
        </w:tabs>
        <w:autoSpaceDE w:val="0"/>
        <w:autoSpaceDN w:val="0"/>
        <w:adjustRightInd w:val="0"/>
        <w:ind w:firstLine="357"/>
        <w:jc w:val="both"/>
        <w:rPr>
          <w:color w:val="FF0000"/>
        </w:rPr>
      </w:pPr>
      <w:r>
        <w:rPr>
          <w:color w:val="000000"/>
        </w:rPr>
        <w:t xml:space="preserve">Juhul, kui tarbijate liitumine kaugküttevõrguga eelmainitust tingituna ei ole võimalik, on Tartu Linnavalitsusel kaugkütteettevõtjale esitatud liitumistaotluse, väljastatud tehniliste tingimuste, </w:t>
      </w:r>
      <w:r>
        <w:rPr>
          <w:color w:val="000000"/>
        </w:rPr>
        <w:lastRenderedPageBreak/>
        <w:t>liitumistasu pakkumise või muude liitumisega seotud dokumentide alusel õigus väljastada projekteerimistingimused maagaasil põhineva kütte rajamiseks, kusjuures projekteerimistingimustes määratakse nende kehtivuse aeg.</w:t>
      </w:r>
    </w:p>
    <w:p w:rsidR="002D6639" w:rsidRDefault="002D6639" w:rsidP="002D6639">
      <w:pPr>
        <w:pStyle w:val="BodyText2"/>
        <w:ind w:firstLine="357"/>
      </w:pPr>
      <w:r>
        <w:rPr>
          <w:rFonts w:ascii="Symbol" w:hAnsi="Symbol"/>
        </w:rPr>
        <w:t></w:t>
      </w:r>
      <w:r>
        <w:rPr>
          <w:rFonts w:ascii="Symbol" w:hAnsi="Symbol"/>
        </w:rPr>
        <w:tab/>
      </w:r>
      <w:r>
        <w:t>Soojuse ja elektrienergia koostootmisjaama paiknemise asukoha kooskõlastab linnavalitsus, teostades vajadusel erinevate asukohavariantide ekspertiisi.</w:t>
      </w:r>
    </w:p>
    <w:p w:rsidR="002D6639" w:rsidRPr="001D75D5" w:rsidRDefault="00E9034F" w:rsidP="00E9034F">
      <w:pPr>
        <w:pStyle w:val="Heading3"/>
        <w:numPr>
          <w:ilvl w:val="1"/>
          <w:numId w:val="38"/>
        </w:numPr>
        <w:rPr>
          <w:sz w:val="26"/>
          <w:szCs w:val="26"/>
        </w:rPr>
      </w:pPr>
      <w:bookmarkStart w:id="12" w:name="_Toc117311029"/>
      <w:r w:rsidRPr="001D75D5">
        <w:rPr>
          <w:sz w:val="26"/>
          <w:szCs w:val="26"/>
        </w:rPr>
        <w:t>R</w:t>
      </w:r>
      <w:r w:rsidR="002D6639" w:rsidRPr="001D75D5">
        <w:rPr>
          <w:sz w:val="26"/>
          <w:szCs w:val="26"/>
        </w:rPr>
        <w:t>akendussätted</w:t>
      </w:r>
      <w:bookmarkEnd w:id="12"/>
    </w:p>
    <w:p w:rsidR="002D6639" w:rsidRDefault="002D6639" w:rsidP="002D6639">
      <w:pPr>
        <w:pStyle w:val="BodyText"/>
        <w:tabs>
          <w:tab w:val="left" w:pos="426"/>
        </w:tabs>
        <w:autoSpaceDE w:val="0"/>
        <w:autoSpaceDN w:val="0"/>
        <w:adjustRightInd w:val="0"/>
      </w:pPr>
      <w:r>
        <w:t>Kaugküttepiirkond on määrat</w:t>
      </w:r>
      <w:r w:rsidR="001D75D5">
        <w:t xml:space="preserve">akse </w:t>
      </w:r>
      <w:r>
        <w:t xml:space="preserve">käesoleva üldplaneeringu kehtestamisega. </w:t>
      </w:r>
    </w:p>
    <w:p w:rsidR="002D6639" w:rsidRDefault="002D6639" w:rsidP="002D6639">
      <w:pPr>
        <w:tabs>
          <w:tab w:val="left" w:pos="426"/>
        </w:tabs>
        <w:autoSpaceDE w:val="0"/>
        <w:autoSpaceDN w:val="0"/>
        <w:adjustRightInd w:val="0"/>
        <w:jc w:val="both"/>
      </w:pPr>
      <w:r>
        <w:t>Kaugküttepiirkonna ülevaatamise käigus selgitatakse kaugküttepiirkonna määramisel püstitatud eesmärkide saavutamine, kaugküttepiirkonna muutmise või kehtetuks tunnistamise vajadus.</w:t>
      </w:r>
    </w:p>
    <w:p w:rsidR="002D6639" w:rsidRDefault="002D6639" w:rsidP="002D6639">
      <w:pPr>
        <w:tabs>
          <w:tab w:val="left" w:pos="426"/>
        </w:tabs>
        <w:autoSpaceDE w:val="0"/>
        <w:autoSpaceDN w:val="0"/>
        <w:adjustRightInd w:val="0"/>
        <w:jc w:val="both"/>
      </w:pPr>
      <w:r>
        <w:t>Kaugküttepiirkonna ülevaatamine, muutmine või kehtetuks tunnistamine toimub seaduses sätestatud korras.</w:t>
      </w:r>
      <w:bookmarkEnd w:id="0"/>
      <w:bookmarkEnd w:id="1"/>
      <w:bookmarkEnd w:id="2"/>
      <w:bookmarkEnd w:id="3"/>
      <w:bookmarkEnd w:id="4"/>
      <w:bookmarkEnd w:id="5"/>
    </w:p>
    <w:p w:rsidR="00D0542B" w:rsidRDefault="00D0542B" w:rsidP="00BF6B9E">
      <w:pPr>
        <w:pStyle w:val="Heading1"/>
      </w:pPr>
      <w:r>
        <w:t>Kaugjahutus</w:t>
      </w:r>
    </w:p>
    <w:p w:rsidR="00D0542B" w:rsidRDefault="00A72C21" w:rsidP="00D0542B">
      <w:pPr>
        <w:autoSpaceDE w:val="0"/>
        <w:autoSpaceDN w:val="0"/>
        <w:adjustRightInd w:val="0"/>
        <w:jc w:val="both"/>
        <w:rPr>
          <w:rFonts w:cs="Verdana"/>
        </w:rPr>
      </w:pPr>
      <w:r w:rsidRPr="00CE0E94">
        <w:rPr>
          <w:rFonts w:cs="Verdana"/>
        </w:rPr>
        <w:t>Kaugjahutussüsteemi arendamise</w:t>
      </w:r>
      <w:r w:rsidR="00D0542B" w:rsidRPr="00CE0E94">
        <w:rPr>
          <w:rFonts w:cs="Verdana"/>
        </w:rPr>
        <w:t xml:space="preserve"> eesmärk on tagada kindla kvaliteediga jaheda vee torutransport Tartu kesklinna hoonetesse ning seeläbi tagada ruumide jahutus vastavalt vajadusele. </w:t>
      </w:r>
    </w:p>
    <w:p w:rsidR="001C3545" w:rsidRPr="00CE0E94" w:rsidRDefault="001C3545" w:rsidP="001C3545">
      <w:r w:rsidRPr="00CE0E94">
        <w:t>Kesklinna piirkonnas on alustatud Emajõe veel kui taastuval energiaallikal põhineva kaugjahutuse võrgu väljaarendamisega.</w:t>
      </w:r>
    </w:p>
    <w:p w:rsidR="00D0542B" w:rsidRPr="00CE0E94" w:rsidRDefault="00A72C21" w:rsidP="00D0542B">
      <w:pPr>
        <w:pStyle w:val="StyleVerdana12ptJustified1"/>
        <w:rPr>
          <w:rFonts w:asciiTheme="minorHAnsi" w:hAnsiTheme="minorHAnsi"/>
          <w:szCs w:val="22"/>
        </w:rPr>
      </w:pPr>
      <w:r w:rsidRPr="00CE0E94">
        <w:rPr>
          <w:rFonts w:asciiTheme="minorHAnsi" w:hAnsiTheme="minorHAnsi"/>
          <w:szCs w:val="22"/>
        </w:rPr>
        <w:t>K</w:t>
      </w:r>
      <w:r w:rsidR="00D0542B" w:rsidRPr="00CE0E94">
        <w:rPr>
          <w:rFonts w:asciiTheme="minorHAnsi" w:hAnsiTheme="minorHAnsi"/>
          <w:szCs w:val="22"/>
        </w:rPr>
        <w:t>augjahutusjaam</w:t>
      </w:r>
      <w:r w:rsidRPr="00CE0E94">
        <w:rPr>
          <w:rFonts w:asciiTheme="minorHAnsi" w:hAnsiTheme="minorHAnsi"/>
          <w:szCs w:val="22"/>
        </w:rPr>
        <w:t>al põhinev kaugjahutussüsteem</w:t>
      </w:r>
      <w:r w:rsidR="00D0542B" w:rsidRPr="00CE0E94">
        <w:rPr>
          <w:rFonts w:asciiTheme="minorHAnsi" w:hAnsiTheme="minorHAnsi"/>
          <w:szCs w:val="22"/>
        </w:rPr>
        <w:t xml:space="preserve"> pakub energiatõhusat alternatiivi fossiilsete kütuste põletamisele</w:t>
      </w:r>
      <w:r w:rsidRPr="00CE0E94">
        <w:rPr>
          <w:rFonts w:asciiTheme="minorHAnsi" w:hAnsiTheme="minorHAnsi"/>
          <w:szCs w:val="22"/>
        </w:rPr>
        <w:t>.</w:t>
      </w:r>
    </w:p>
    <w:p w:rsidR="005512DC" w:rsidRPr="00CE0E94" w:rsidRDefault="005512DC" w:rsidP="005512DC"/>
    <w:p w:rsidR="005512DC" w:rsidRPr="00CE0E94" w:rsidRDefault="005512DC" w:rsidP="005512DC">
      <w:r w:rsidRPr="00CE0E94">
        <w:t>Detailplaneeringute koostamisel ja hoonete projekt</w:t>
      </w:r>
      <w:r w:rsidR="001C3545">
        <w:t>eerimisel</w:t>
      </w:r>
      <w:r w:rsidRPr="00CE0E94">
        <w:t xml:space="preserve"> on kaugjahutusvarustuse lahenduse aluseks võrguettevõtte tehnilised tingimused.</w:t>
      </w:r>
    </w:p>
    <w:p w:rsidR="00D0542B" w:rsidRPr="00CE0E94" w:rsidRDefault="00D0542B" w:rsidP="00D0542B"/>
    <w:p w:rsidR="00BF6B9E" w:rsidRPr="00CE0E94" w:rsidRDefault="002D486B" w:rsidP="00BF6B9E">
      <w:pPr>
        <w:pStyle w:val="Heading1"/>
      </w:pPr>
      <w:r w:rsidRPr="00CE0E94">
        <w:t>G</w:t>
      </w:r>
      <w:r w:rsidR="00BF6B9E" w:rsidRPr="00CE0E94">
        <w:t>aasivarustus</w:t>
      </w:r>
    </w:p>
    <w:p w:rsidR="00245087" w:rsidRPr="00CE0E94" w:rsidRDefault="00FA341D" w:rsidP="00FA341D">
      <w:r w:rsidRPr="00CE0E94">
        <w:t xml:space="preserve">Piirkondades, kus hoonestuse tihedus </w:t>
      </w:r>
      <w:r w:rsidR="00245087" w:rsidRPr="00CE0E94">
        <w:t xml:space="preserve">ja funktsionaalsus </w:t>
      </w:r>
      <w:r w:rsidRPr="00CE0E94">
        <w:t xml:space="preserve">ei eelda kaugküttesüsteemi väljaarendamist, on hoonete küttevajaduste rahuldamiseks välja arendatud gaasivõrk. Uushoonestuse gaasivarustus lahendatakse olemasoleva gaasitorustiku laiendusena. </w:t>
      </w:r>
    </w:p>
    <w:p w:rsidR="00245087" w:rsidRPr="00CE0E94" w:rsidRDefault="00245087" w:rsidP="00245087">
      <w:r w:rsidRPr="00CE0E94">
        <w:t xml:space="preserve">Detailplaneeringute koostamisel ja hoonete projektides on </w:t>
      </w:r>
      <w:r w:rsidR="00A72C21" w:rsidRPr="00CE0E94">
        <w:t>gaasi</w:t>
      </w:r>
      <w:r w:rsidRPr="00CE0E94">
        <w:t xml:space="preserve">varustuse lahenduse aluseks </w:t>
      </w:r>
      <w:r w:rsidR="00A72C21" w:rsidRPr="00CE0E94">
        <w:t>võrgu</w:t>
      </w:r>
      <w:r w:rsidRPr="00CE0E94">
        <w:t>ettevõtja tehnilised tingimused.</w:t>
      </w:r>
    </w:p>
    <w:p w:rsidR="002B1BAE" w:rsidRPr="00CE0E94" w:rsidRDefault="002B1BAE" w:rsidP="002B1BAE">
      <w:pPr>
        <w:pStyle w:val="Heading1"/>
      </w:pPr>
      <w:r w:rsidRPr="00CE0E94">
        <w:t>Elektrivarustus</w:t>
      </w:r>
    </w:p>
    <w:p w:rsidR="00950ADB" w:rsidRPr="00CE0E94" w:rsidRDefault="00950ADB" w:rsidP="00950ADB">
      <w:pPr>
        <w:rPr>
          <w:rFonts w:cs="Arial"/>
        </w:rPr>
      </w:pPr>
      <w:r w:rsidRPr="00CE0E94">
        <w:rPr>
          <w:rFonts w:cs="Arial"/>
        </w:rPr>
        <w:t xml:space="preserve">Üldplaneeringus </w:t>
      </w:r>
      <w:r w:rsidR="00245087" w:rsidRPr="00CE0E94">
        <w:rPr>
          <w:rFonts w:cs="Arial"/>
        </w:rPr>
        <w:t>kajastatakse</w:t>
      </w:r>
      <w:r w:rsidRPr="00CE0E94">
        <w:rPr>
          <w:rFonts w:cs="Arial"/>
        </w:rPr>
        <w:t xml:space="preserve"> elektri põhivõrgu (110kV ja kõrgema pingega elektrivõrk) </w:t>
      </w:r>
      <w:r w:rsidR="006A5F45" w:rsidRPr="00CE0E94">
        <w:rPr>
          <w:rFonts w:cs="Arial"/>
        </w:rPr>
        <w:t>kavandatud arengud</w:t>
      </w:r>
      <w:r w:rsidR="005512DC" w:rsidRPr="00CE0E94">
        <w:rPr>
          <w:rFonts w:cs="Arial"/>
        </w:rPr>
        <w:t>.</w:t>
      </w:r>
      <w:r w:rsidR="006A5F45" w:rsidRPr="00CE0E94">
        <w:rPr>
          <w:rFonts w:cs="Arial"/>
        </w:rPr>
        <w:t xml:space="preserve"> </w:t>
      </w:r>
      <w:r w:rsidRPr="00CE0E94">
        <w:rPr>
          <w:rFonts w:cs="Arial"/>
        </w:rPr>
        <w:t>Eesmärgiks on tagada usaldusväärne elektrivarustus ja elektrivõrgu uuendamine</w:t>
      </w:r>
      <w:r w:rsidR="006A5F45" w:rsidRPr="00CE0E94">
        <w:rPr>
          <w:rFonts w:cs="Arial"/>
        </w:rPr>
        <w:t xml:space="preserve"> </w:t>
      </w:r>
      <w:r w:rsidRPr="00CE0E94">
        <w:rPr>
          <w:rFonts w:cs="Arial"/>
        </w:rPr>
        <w:t>vastavalt tehnilisele vajadusele</w:t>
      </w:r>
      <w:r w:rsidR="006A5F45" w:rsidRPr="00CE0E94">
        <w:rPr>
          <w:rFonts w:cs="Arial"/>
        </w:rPr>
        <w:t xml:space="preserve"> ja uute koormuspunktide tekkimisele</w:t>
      </w:r>
      <w:r w:rsidRPr="00CE0E94">
        <w:rPr>
          <w:rFonts w:cs="Arial"/>
        </w:rPr>
        <w:t>.</w:t>
      </w:r>
    </w:p>
    <w:p w:rsidR="00950ADB" w:rsidRPr="00CE0E94" w:rsidRDefault="00A72C21" w:rsidP="00950ADB">
      <w:pPr>
        <w:rPr>
          <w:rFonts w:cs="Arial"/>
        </w:rPr>
      </w:pPr>
      <w:r w:rsidRPr="00CE0E94">
        <w:rPr>
          <w:rFonts w:cs="Arial"/>
        </w:rPr>
        <w:lastRenderedPageBreak/>
        <w:t>7</w:t>
      </w:r>
      <w:r w:rsidR="006A5F45" w:rsidRPr="00CE0E94">
        <w:rPr>
          <w:rFonts w:cs="Arial"/>
        </w:rPr>
        <w:t xml:space="preserve">.1. </w:t>
      </w:r>
      <w:r w:rsidR="00E932DD">
        <w:rPr>
          <w:rFonts w:cs="Arial"/>
        </w:rPr>
        <w:t xml:space="preserve">Selleks on  Tartu linna </w:t>
      </w:r>
      <w:r w:rsidR="00950ADB" w:rsidRPr="00CE0E94">
        <w:rPr>
          <w:rFonts w:cs="Arial"/>
        </w:rPr>
        <w:t>elektri</w:t>
      </w:r>
      <w:r w:rsidR="006A5F45" w:rsidRPr="00CE0E94">
        <w:rPr>
          <w:rFonts w:cs="Arial"/>
        </w:rPr>
        <w:t xml:space="preserve"> põhi</w:t>
      </w:r>
      <w:r w:rsidR="00950ADB" w:rsidRPr="00CE0E94">
        <w:rPr>
          <w:rFonts w:cs="Arial"/>
        </w:rPr>
        <w:t>võrgus</w:t>
      </w:r>
      <w:r w:rsidR="00E932DD">
        <w:rPr>
          <w:rFonts w:cs="Arial"/>
        </w:rPr>
        <w:t xml:space="preserve"> aastani 2030 ja edasi </w:t>
      </w:r>
      <w:r w:rsidR="00E932DD" w:rsidRPr="00CE0E94">
        <w:rPr>
          <w:rFonts w:cs="Arial"/>
        </w:rPr>
        <w:t>kavandatud järgmised muutused</w:t>
      </w:r>
      <w:r w:rsidR="00950ADB" w:rsidRPr="00CE0E94">
        <w:rPr>
          <w:rFonts w:cs="Arial"/>
        </w:rPr>
        <w:t>:</w:t>
      </w:r>
    </w:p>
    <w:p w:rsidR="00950ADB" w:rsidRPr="00CE0E94" w:rsidRDefault="00950ADB" w:rsidP="00950ADB">
      <w:pPr>
        <w:numPr>
          <w:ilvl w:val="0"/>
          <w:numId w:val="4"/>
        </w:numPr>
        <w:spacing w:after="0" w:line="240" w:lineRule="auto"/>
        <w:rPr>
          <w:rFonts w:cs="Arial"/>
        </w:rPr>
      </w:pPr>
      <w:r w:rsidRPr="00CE0E94">
        <w:rPr>
          <w:rFonts w:cs="Arial"/>
        </w:rPr>
        <w:t xml:space="preserve">110 </w:t>
      </w:r>
      <w:proofErr w:type="spellStart"/>
      <w:r w:rsidRPr="00CE0E94">
        <w:rPr>
          <w:rFonts w:cs="Arial"/>
        </w:rPr>
        <w:t>kV</w:t>
      </w:r>
      <w:proofErr w:type="spellEnd"/>
      <w:r w:rsidRPr="00CE0E94">
        <w:rPr>
          <w:rFonts w:cs="Arial"/>
        </w:rPr>
        <w:t xml:space="preserve"> segaliin Tartu-Emajõe rekonstrueeritakse täies mahus uueks kaabelliiniks. </w:t>
      </w:r>
    </w:p>
    <w:p w:rsidR="00950ADB" w:rsidRPr="00CE0E94" w:rsidRDefault="00950ADB" w:rsidP="00950ADB">
      <w:pPr>
        <w:numPr>
          <w:ilvl w:val="0"/>
          <w:numId w:val="4"/>
        </w:numPr>
        <w:spacing w:after="0" w:line="240" w:lineRule="auto"/>
        <w:rPr>
          <w:rFonts w:cs="Arial"/>
        </w:rPr>
      </w:pPr>
      <w:r w:rsidRPr="00CE0E94">
        <w:rPr>
          <w:rFonts w:cs="Arial"/>
        </w:rPr>
        <w:t xml:space="preserve">110 </w:t>
      </w:r>
      <w:proofErr w:type="spellStart"/>
      <w:r w:rsidRPr="00CE0E94">
        <w:rPr>
          <w:rFonts w:cs="Arial"/>
        </w:rPr>
        <w:t>kV</w:t>
      </w:r>
      <w:proofErr w:type="spellEnd"/>
      <w:r w:rsidRPr="00CE0E94">
        <w:rPr>
          <w:rFonts w:cs="Arial"/>
        </w:rPr>
        <w:t xml:space="preserve"> õhuliin Tartu-Tööstuse rekonstrueeritakse täies mahus kaabelliiniks.</w:t>
      </w:r>
    </w:p>
    <w:p w:rsidR="00950ADB" w:rsidRPr="00CE0E94" w:rsidRDefault="00950ADB" w:rsidP="00950ADB">
      <w:pPr>
        <w:numPr>
          <w:ilvl w:val="0"/>
          <w:numId w:val="4"/>
        </w:numPr>
        <w:spacing w:after="0" w:line="240" w:lineRule="auto"/>
        <w:rPr>
          <w:rFonts w:cs="Arial"/>
        </w:rPr>
      </w:pPr>
      <w:r w:rsidRPr="00CE0E94">
        <w:rPr>
          <w:rFonts w:cs="Arial"/>
        </w:rPr>
        <w:t xml:space="preserve">110 </w:t>
      </w:r>
      <w:proofErr w:type="spellStart"/>
      <w:r w:rsidRPr="00CE0E94">
        <w:rPr>
          <w:rFonts w:cs="Arial"/>
        </w:rPr>
        <w:t>kV</w:t>
      </w:r>
      <w:proofErr w:type="spellEnd"/>
      <w:r w:rsidRPr="00CE0E94">
        <w:rPr>
          <w:rFonts w:cs="Arial"/>
        </w:rPr>
        <w:t xml:space="preserve"> õhuliin Tööstuse-Anne rekonstrueeritakse täies mahus kaabelliiniks. </w:t>
      </w:r>
    </w:p>
    <w:p w:rsidR="00950ADB" w:rsidRPr="00CE0E94" w:rsidRDefault="00950ADB" w:rsidP="00950ADB">
      <w:pPr>
        <w:numPr>
          <w:ilvl w:val="0"/>
          <w:numId w:val="4"/>
        </w:numPr>
        <w:spacing w:after="0" w:line="240" w:lineRule="auto"/>
        <w:rPr>
          <w:rFonts w:cs="Arial"/>
        </w:rPr>
      </w:pPr>
      <w:r w:rsidRPr="00CE0E94">
        <w:rPr>
          <w:rFonts w:cs="Arial"/>
        </w:rPr>
        <w:t xml:space="preserve">110 </w:t>
      </w:r>
      <w:proofErr w:type="spellStart"/>
      <w:r w:rsidRPr="00CE0E94">
        <w:rPr>
          <w:rFonts w:cs="Arial"/>
        </w:rPr>
        <w:t>kV</w:t>
      </w:r>
      <w:proofErr w:type="spellEnd"/>
      <w:r w:rsidRPr="00CE0E94">
        <w:rPr>
          <w:rFonts w:cs="Arial"/>
        </w:rPr>
        <w:t xml:space="preserve"> õhuliin Tartu-Anne rekonstrueeritakse täies mahus kaabelliiniks. </w:t>
      </w:r>
    </w:p>
    <w:p w:rsidR="00950ADB" w:rsidRPr="00CE0E94" w:rsidRDefault="00A72C21" w:rsidP="00950ADB">
      <w:pPr>
        <w:rPr>
          <w:rFonts w:cs="Arial"/>
        </w:rPr>
      </w:pPr>
      <w:r w:rsidRPr="00CE0E94">
        <w:rPr>
          <w:rFonts w:cs="Arial"/>
        </w:rPr>
        <w:t>7</w:t>
      </w:r>
      <w:r w:rsidR="006A5F45" w:rsidRPr="00CE0E94">
        <w:rPr>
          <w:rFonts w:cs="Arial"/>
        </w:rPr>
        <w:t xml:space="preserve">.2. </w:t>
      </w:r>
      <w:r w:rsidR="00950ADB" w:rsidRPr="00CE0E94">
        <w:rPr>
          <w:rFonts w:cs="Arial"/>
        </w:rPr>
        <w:t xml:space="preserve">Tartu põhivõrgus </w:t>
      </w:r>
      <w:r w:rsidR="00633C7B">
        <w:rPr>
          <w:rFonts w:cs="Arial"/>
        </w:rPr>
        <w:t xml:space="preserve">on </w:t>
      </w:r>
      <w:r w:rsidR="00245087" w:rsidRPr="00CE0E94">
        <w:rPr>
          <w:rFonts w:cs="Arial"/>
        </w:rPr>
        <w:t>kavandatud järgmiste</w:t>
      </w:r>
      <w:r w:rsidR="00950ADB" w:rsidRPr="00CE0E94">
        <w:rPr>
          <w:rFonts w:cs="Arial"/>
        </w:rPr>
        <w:t xml:space="preserve"> uu</w:t>
      </w:r>
      <w:r w:rsidR="00245087" w:rsidRPr="00CE0E94">
        <w:rPr>
          <w:rFonts w:cs="Arial"/>
        </w:rPr>
        <w:t>t</w:t>
      </w:r>
      <w:r w:rsidR="00950ADB" w:rsidRPr="00CE0E94">
        <w:rPr>
          <w:rFonts w:cs="Arial"/>
        </w:rPr>
        <w:t xml:space="preserve">e 110 </w:t>
      </w:r>
      <w:proofErr w:type="spellStart"/>
      <w:r w:rsidR="00950ADB" w:rsidRPr="00CE0E94">
        <w:rPr>
          <w:rFonts w:cs="Arial"/>
        </w:rPr>
        <w:t>kV</w:t>
      </w:r>
      <w:proofErr w:type="spellEnd"/>
      <w:r w:rsidR="00950ADB" w:rsidRPr="00CE0E94">
        <w:rPr>
          <w:rFonts w:cs="Arial"/>
        </w:rPr>
        <w:t xml:space="preserve"> alajaamad</w:t>
      </w:r>
      <w:r w:rsidR="00245087" w:rsidRPr="00CE0E94">
        <w:rPr>
          <w:rFonts w:cs="Arial"/>
        </w:rPr>
        <w:t>e lisandumise võimalus</w:t>
      </w:r>
      <w:r w:rsidR="00950ADB" w:rsidRPr="00CE0E94">
        <w:rPr>
          <w:rFonts w:cs="Arial"/>
        </w:rPr>
        <w:t>:</w:t>
      </w:r>
    </w:p>
    <w:p w:rsidR="00950ADB" w:rsidRPr="00CE0E94" w:rsidRDefault="00950ADB" w:rsidP="00950ADB">
      <w:pPr>
        <w:numPr>
          <w:ilvl w:val="0"/>
          <w:numId w:val="5"/>
        </w:numPr>
        <w:spacing w:after="0" w:line="240" w:lineRule="auto"/>
        <w:rPr>
          <w:rFonts w:cs="Arial"/>
        </w:rPr>
      </w:pPr>
      <w:proofErr w:type="spellStart"/>
      <w:r w:rsidRPr="00CE0E94">
        <w:rPr>
          <w:rFonts w:cs="Arial"/>
        </w:rPr>
        <w:t>Karlova</w:t>
      </w:r>
      <w:proofErr w:type="spellEnd"/>
      <w:r w:rsidRPr="00CE0E94">
        <w:rPr>
          <w:rFonts w:cs="Arial"/>
        </w:rPr>
        <w:t xml:space="preserve"> 110/10 </w:t>
      </w:r>
      <w:proofErr w:type="spellStart"/>
      <w:r w:rsidRPr="00CE0E94">
        <w:rPr>
          <w:rFonts w:cs="Arial"/>
        </w:rPr>
        <w:t>kV</w:t>
      </w:r>
      <w:proofErr w:type="spellEnd"/>
      <w:r w:rsidRPr="00CE0E94">
        <w:rPr>
          <w:rFonts w:cs="Arial"/>
        </w:rPr>
        <w:t xml:space="preserve"> AJ </w:t>
      </w:r>
    </w:p>
    <w:p w:rsidR="00950ADB" w:rsidRPr="00CE0E94" w:rsidRDefault="00950ADB" w:rsidP="00950ADB">
      <w:pPr>
        <w:numPr>
          <w:ilvl w:val="0"/>
          <w:numId w:val="5"/>
        </w:numPr>
        <w:spacing w:after="0" w:line="240" w:lineRule="auto"/>
        <w:rPr>
          <w:rFonts w:cs="Arial"/>
        </w:rPr>
      </w:pPr>
      <w:r w:rsidRPr="00CE0E94">
        <w:rPr>
          <w:rFonts w:cs="Arial"/>
        </w:rPr>
        <w:t xml:space="preserve">Ihaste 110/10 </w:t>
      </w:r>
      <w:proofErr w:type="spellStart"/>
      <w:r w:rsidRPr="00CE0E94">
        <w:rPr>
          <w:rFonts w:cs="Arial"/>
        </w:rPr>
        <w:t>kV</w:t>
      </w:r>
      <w:proofErr w:type="spellEnd"/>
      <w:r w:rsidRPr="00CE0E94">
        <w:rPr>
          <w:rFonts w:cs="Arial"/>
        </w:rPr>
        <w:t xml:space="preserve"> AJ </w:t>
      </w:r>
    </w:p>
    <w:p w:rsidR="00950ADB" w:rsidRPr="00CE0E94" w:rsidRDefault="00950ADB" w:rsidP="00950ADB">
      <w:pPr>
        <w:numPr>
          <w:ilvl w:val="0"/>
          <w:numId w:val="5"/>
        </w:numPr>
        <w:spacing w:after="0" w:line="240" w:lineRule="auto"/>
        <w:rPr>
          <w:rFonts w:cs="Arial"/>
        </w:rPr>
      </w:pPr>
      <w:proofErr w:type="spellStart"/>
      <w:r w:rsidRPr="00CE0E94">
        <w:rPr>
          <w:rFonts w:cs="Arial"/>
        </w:rPr>
        <w:t>Kvissentali</w:t>
      </w:r>
      <w:proofErr w:type="spellEnd"/>
      <w:r w:rsidRPr="00CE0E94">
        <w:rPr>
          <w:rFonts w:cs="Arial"/>
        </w:rPr>
        <w:t xml:space="preserve"> 110/10 </w:t>
      </w:r>
      <w:proofErr w:type="spellStart"/>
      <w:r w:rsidRPr="00CE0E94">
        <w:rPr>
          <w:rFonts w:cs="Arial"/>
        </w:rPr>
        <w:t>kV</w:t>
      </w:r>
      <w:proofErr w:type="spellEnd"/>
      <w:r w:rsidRPr="00CE0E94">
        <w:rPr>
          <w:rFonts w:cs="Arial"/>
        </w:rPr>
        <w:t xml:space="preserve"> AJ</w:t>
      </w:r>
    </w:p>
    <w:p w:rsidR="00950ADB" w:rsidRPr="00CE0E94" w:rsidRDefault="00950ADB" w:rsidP="00950ADB">
      <w:pPr>
        <w:numPr>
          <w:ilvl w:val="0"/>
          <w:numId w:val="5"/>
        </w:numPr>
        <w:spacing w:after="0" w:line="240" w:lineRule="auto"/>
        <w:rPr>
          <w:rFonts w:cs="Arial"/>
        </w:rPr>
      </w:pPr>
      <w:proofErr w:type="spellStart"/>
      <w:r w:rsidRPr="00CE0E94">
        <w:rPr>
          <w:rFonts w:cs="Arial"/>
        </w:rPr>
        <w:t>Lemmatsi</w:t>
      </w:r>
      <w:proofErr w:type="spellEnd"/>
      <w:r w:rsidRPr="00CE0E94">
        <w:rPr>
          <w:rFonts w:cs="Arial"/>
        </w:rPr>
        <w:t xml:space="preserve"> 110/10/ </w:t>
      </w:r>
      <w:proofErr w:type="spellStart"/>
      <w:r w:rsidRPr="00CE0E94">
        <w:rPr>
          <w:rFonts w:cs="Arial"/>
        </w:rPr>
        <w:t>kV</w:t>
      </w:r>
      <w:proofErr w:type="spellEnd"/>
      <w:r w:rsidRPr="00CE0E94">
        <w:rPr>
          <w:rFonts w:cs="Arial"/>
        </w:rPr>
        <w:t xml:space="preserve"> AJ</w:t>
      </w:r>
    </w:p>
    <w:p w:rsidR="00950ADB" w:rsidRPr="00CE0E94" w:rsidRDefault="00A72C21" w:rsidP="00950ADB">
      <w:pPr>
        <w:rPr>
          <w:rFonts w:cs="Arial"/>
        </w:rPr>
      </w:pPr>
      <w:r w:rsidRPr="00CE0E94">
        <w:rPr>
          <w:rFonts w:cs="Arial"/>
        </w:rPr>
        <w:t>7</w:t>
      </w:r>
      <w:r w:rsidR="006A5F45" w:rsidRPr="00CE0E94">
        <w:rPr>
          <w:rFonts w:cs="Arial"/>
        </w:rPr>
        <w:t xml:space="preserve">.3. </w:t>
      </w:r>
      <w:r w:rsidR="00950ADB" w:rsidRPr="00CE0E94">
        <w:rPr>
          <w:rFonts w:cs="Arial"/>
        </w:rPr>
        <w:t xml:space="preserve">Seoses liitumistega </w:t>
      </w:r>
      <w:r w:rsidRPr="00CE0E94">
        <w:rPr>
          <w:rFonts w:cs="Arial"/>
        </w:rPr>
        <w:t>on kavas ehitada</w:t>
      </w:r>
      <w:r w:rsidR="00950ADB" w:rsidRPr="00CE0E94">
        <w:rPr>
          <w:rFonts w:cs="Arial"/>
        </w:rPr>
        <w:t>:</w:t>
      </w:r>
    </w:p>
    <w:p w:rsidR="00950ADB" w:rsidRPr="00CE0E94" w:rsidRDefault="00950ADB" w:rsidP="00950ADB">
      <w:pPr>
        <w:numPr>
          <w:ilvl w:val="0"/>
          <w:numId w:val="6"/>
        </w:numPr>
        <w:spacing w:after="0" w:line="240" w:lineRule="auto"/>
        <w:rPr>
          <w:rFonts w:cs="Arial"/>
        </w:rPr>
      </w:pPr>
      <w:proofErr w:type="spellStart"/>
      <w:r w:rsidRPr="00CE0E94">
        <w:rPr>
          <w:rFonts w:cs="Arial"/>
        </w:rPr>
        <w:t>Karlova</w:t>
      </w:r>
      <w:proofErr w:type="spellEnd"/>
      <w:r w:rsidRPr="00CE0E94">
        <w:rPr>
          <w:rFonts w:cs="Arial"/>
        </w:rPr>
        <w:t xml:space="preserve"> alajaama uued 110 </w:t>
      </w:r>
      <w:proofErr w:type="spellStart"/>
      <w:r w:rsidRPr="00CE0E94">
        <w:rPr>
          <w:rFonts w:cs="Arial"/>
        </w:rPr>
        <w:t>kV</w:t>
      </w:r>
      <w:proofErr w:type="spellEnd"/>
      <w:r w:rsidRPr="00CE0E94">
        <w:rPr>
          <w:rFonts w:cs="Arial"/>
        </w:rPr>
        <w:t xml:space="preserve"> kõrgepingeliinid olemasolevalt Tööstuse-Anne 110 </w:t>
      </w:r>
      <w:proofErr w:type="spellStart"/>
      <w:r w:rsidRPr="00CE0E94">
        <w:rPr>
          <w:rFonts w:cs="Arial"/>
        </w:rPr>
        <w:t>kV</w:t>
      </w:r>
      <w:proofErr w:type="spellEnd"/>
      <w:r w:rsidRPr="00CE0E94">
        <w:rPr>
          <w:rFonts w:cs="Arial"/>
        </w:rPr>
        <w:t xml:space="preserve"> kõrgepingeliinilt.</w:t>
      </w:r>
    </w:p>
    <w:p w:rsidR="00950ADB" w:rsidRPr="00CE0E94" w:rsidRDefault="00950ADB" w:rsidP="00950ADB">
      <w:pPr>
        <w:numPr>
          <w:ilvl w:val="0"/>
          <w:numId w:val="6"/>
        </w:numPr>
        <w:spacing w:after="0" w:line="240" w:lineRule="auto"/>
        <w:rPr>
          <w:rFonts w:cs="Arial"/>
        </w:rPr>
      </w:pPr>
      <w:proofErr w:type="spellStart"/>
      <w:r w:rsidRPr="00CE0E94">
        <w:rPr>
          <w:rFonts w:cs="Arial"/>
        </w:rPr>
        <w:t>Emajõe-Karlova</w:t>
      </w:r>
      <w:proofErr w:type="spellEnd"/>
      <w:r w:rsidRPr="00CE0E94">
        <w:rPr>
          <w:rFonts w:cs="Arial"/>
        </w:rPr>
        <w:t xml:space="preserve"> 110 </w:t>
      </w:r>
      <w:proofErr w:type="spellStart"/>
      <w:r w:rsidRPr="00CE0E94">
        <w:rPr>
          <w:rFonts w:cs="Arial"/>
        </w:rPr>
        <w:t>kV</w:t>
      </w:r>
      <w:proofErr w:type="spellEnd"/>
      <w:r w:rsidRPr="00CE0E94">
        <w:rPr>
          <w:rFonts w:cs="Arial"/>
        </w:rPr>
        <w:t xml:space="preserve"> kaabelliin.</w:t>
      </w:r>
    </w:p>
    <w:p w:rsidR="00950ADB" w:rsidRPr="00CE0E94" w:rsidRDefault="00950ADB" w:rsidP="00950ADB">
      <w:pPr>
        <w:numPr>
          <w:ilvl w:val="0"/>
          <w:numId w:val="6"/>
        </w:numPr>
        <w:spacing w:after="0" w:line="240" w:lineRule="auto"/>
        <w:rPr>
          <w:rFonts w:cs="Arial"/>
        </w:rPr>
      </w:pPr>
      <w:proofErr w:type="spellStart"/>
      <w:r w:rsidRPr="00CE0E94">
        <w:rPr>
          <w:rFonts w:cs="Arial"/>
        </w:rPr>
        <w:t>Lemmatsi</w:t>
      </w:r>
      <w:proofErr w:type="spellEnd"/>
      <w:r w:rsidRPr="00CE0E94">
        <w:rPr>
          <w:rFonts w:cs="Arial"/>
        </w:rPr>
        <w:t xml:space="preserve"> alajaama uued sisseviigud olemasolevalt 110 </w:t>
      </w:r>
      <w:proofErr w:type="spellStart"/>
      <w:r w:rsidRPr="00CE0E94">
        <w:rPr>
          <w:rFonts w:cs="Arial"/>
        </w:rPr>
        <w:t>kV</w:t>
      </w:r>
      <w:proofErr w:type="spellEnd"/>
      <w:r w:rsidRPr="00CE0E94">
        <w:rPr>
          <w:rFonts w:cs="Arial"/>
        </w:rPr>
        <w:t xml:space="preserve"> Tartu-Anne kõrgepingeliinilt.</w:t>
      </w:r>
    </w:p>
    <w:p w:rsidR="00950ADB" w:rsidRPr="00CE0E94" w:rsidRDefault="00950ADB" w:rsidP="00950ADB">
      <w:pPr>
        <w:numPr>
          <w:ilvl w:val="0"/>
          <w:numId w:val="6"/>
        </w:numPr>
        <w:spacing w:after="0" w:line="240" w:lineRule="auto"/>
        <w:rPr>
          <w:rFonts w:cs="Arial"/>
        </w:rPr>
      </w:pPr>
      <w:r w:rsidRPr="00CE0E94">
        <w:rPr>
          <w:rFonts w:cs="Arial"/>
        </w:rPr>
        <w:t xml:space="preserve">Ihaste alajaama uued sisseviigud olemasolevalt 110 </w:t>
      </w:r>
      <w:proofErr w:type="spellStart"/>
      <w:r w:rsidRPr="00CE0E94">
        <w:rPr>
          <w:rFonts w:cs="Arial"/>
        </w:rPr>
        <w:t>kV</w:t>
      </w:r>
      <w:proofErr w:type="spellEnd"/>
      <w:r w:rsidRPr="00CE0E94">
        <w:rPr>
          <w:rFonts w:cs="Arial"/>
        </w:rPr>
        <w:t xml:space="preserve"> Tartu-Anne kõrgepingeliinilt.</w:t>
      </w:r>
    </w:p>
    <w:p w:rsidR="00950ADB" w:rsidRPr="00CE0E94" w:rsidRDefault="00950ADB" w:rsidP="00950ADB">
      <w:pPr>
        <w:numPr>
          <w:ilvl w:val="0"/>
          <w:numId w:val="6"/>
        </w:numPr>
        <w:spacing w:after="0" w:line="240" w:lineRule="auto"/>
        <w:rPr>
          <w:rFonts w:cs="Arial"/>
        </w:rPr>
      </w:pPr>
      <w:proofErr w:type="spellStart"/>
      <w:r w:rsidRPr="00CE0E94">
        <w:rPr>
          <w:rFonts w:cs="Arial"/>
        </w:rPr>
        <w:t>Kvissentali</w:t>
      </w:r>
      <w:proofErr w:type="spellEnd"/>
      <w:r w:rsidRPr="00CE0E94">
        <w:rPr>
          <w:rFonts w:cs="Arial"/>
        </w:rPr>
        <w:t xml:space="preserve"> alajaama ehitatakse uus 110 </w:t>
      </w:r>
      <w:proofErr w:type="spellStart"/>
      <w:r w:rsidRPr="00CE0E94">
        <w:rPr>
          <w:rFonts w:cs="Arial"/>
        </w:rPr>
        <w:t>kV</w:t>
      </w:r>
      <w:proofErr w:type="spellEnd"/>
      <w:r w:rsidRPr="00CE0E94">
        <w:rPr>
          <w:rFonts w:cs="Arial"/>
        </w:rPr>
        <w:t xml:space="preserve"> kõrgepingeliin Tartu alajaamast, kasutades olemasoleva õhuliini trassikoridori osa segaliinist ning vana õhuliini trassikoridori mastist 13 kuni perspektiivse </w:t>
      </w:r>
      <w:proofErr w:type="spellStart"/>
      <w:r w:rsidRPr="00CE0E94">
        <w:rPr>
          <w:rFonts w:cs="Arial"/>
        </w:rPr>
        <w:t>Kvissentali</w:t>
      </w:r>
      <w:proofErr w:type="spellEnd"/>
      <w:r w:rsidRPr="00CE0E94">
        <w:rPr>
          <w:rFonts w:cs="Arial"/>
        </w:rPr>
        <w:t xml:space="preserve"> alajaamani mastis 19.</w:t>
      </w:r>
    </w:p>
    <w:p w:rsidR="00A72C21" w:rsidRPr="00CE0E94" w:rsidRDefault="00A72C21" w:rsidP="00950ADB">
      <w:pPr>
        <w:rPr>
          <w:rFonts w:cs="Arial"/>
        </w:rPr>
      </w:pPr>
    </w:p>
    <w:p w:rsidR="00950ADB" w:rsidRPr="00CE0E94" w:rsidRDefault="00633C7B" w:rsidP="00950ADB">
      <w:pPr>
        <w:rPr>
          <w:rFonts w:cs="Arial"/>
        </w:rPr>
      </w:pPr>
      <w:r>
        <w:rPr>
          <w:rFonts w:cs="Arial"/>
        </w:rPr>
        <w:t>P</w:t>
      </w:r>
      <w:r w:rsidRPr="00CE0E94">
        <w:rPr>
          <w:rFonts w:cs="Arial"/>
        </w:rPr>
        <w:t xml:space="preserve">laneeringu põhilahenduse mahus </w:t>
      </w:r>
      <w:r>
        <w:rPr>
          <w:rFonts w:cs="Arial"/>
        </w:rPr>
        <w:t xml:space="preserve">esitatakse </w:t>
      </w:r>
      <w:r w:rsidR="00950ADB" w:rsidRPr="00CE0E94">
        <w:rPr>
          <w:rFonts w:cs="Arial"/>
        </w:rPr>
        <w:t>Tartu linna perspektii</w:t>
      </w:r>
      <w:r w:rsidR="005512DC" w:rsidRPr="00CE0E94">
        <w:rPr>
          <w:rFonts w:cs="Arial"/>
        </w:rPr>
        <w:t>vs</w:t>
      </w:r>
      <w:r w:rsidR="00950ADB" w:rsidRPr="00CE0E94">
        <w:rPr>
          <w:rFonts w:cs="Arial"/>
        </w:rPr>
        <w:t>e elektrivõr</w:t>
      </w:r>
      <w:r w:rsidR="005512DC" w:rsidRPr="00CE0E94">
        <w:rPr>
          <w:rFonts w:cs="Arial"/>
        </w:rPr>
        <w:t>gu graafiline materjal (</w:t>
      </w:r>
      <w:r w:rsidR="00245087" w:rsidRPr="00CE0E94">
        <w:rPr>
          <w:rFonts w:cs="Arial"/>
        </w:rPr>
        <w:t>siinnimetatud trasside põhimõttelise paigutusega</w:t>
      </w:r>
      <w:r w:rsidR="005512DC" w:rsidRPr="00CE0E94">
        <w:rPr>
          <w:rFonts w:cs="Arial"/>
        </w:rPr>
        <w:t>)</w:t>
      </w:r>
      <w:r w:rsidR="00245087" w:rsidRPr="00CE0E94">
        <w:rPr>
          <w:rFonts w:cs="Arial"/>
        </w:rPr>
        <w:t xml:space="preserve"> </w:t>
      </w:r>
      <w:r>
        <w:rPr>
          <w:rFonts w:cs="Arial"/>
        </w:rPr>
        <w:t>, samuti on kavas käsitleda kõrgepingeliinide kaitsevöönditega seonduvat</w:t>
      </w:r>
      <w:r w:rsidR="00245087" w:rsidRPr="00CE0E94">
        <w:rPr>
          <w:rFonts w:cs="Arial"/>
        </w:rPr>
        <w:t>.</w:t>
      </w:r>
    </w:p>
    <w:p w:rsidR="008E2539" w:rsidRPr="00CE0E94" w:rsidRDefault="008E2539" w:rsidP="00950ADB">
      <w:pPr>
        <w:rPr>
          <w:rFonts w:asciiTheme="majorHAnsi" w:hAnsiTheme="majorHAnsi" w:cs="Arial"/>
          <w:b/>
          <w:color w:val="4F81BD" w:themeColor="accent1"/>
          <w:sz w:val="28"/>
          <w:szCs w:val="28"/>
        </w:rPr>
      </w:pPr>
    </w:p>
    <w:p w:rsidR="008E2539" w:rsidRPr="00CE0E94" w:rsidRDefault="008E2539" w:rsidP="00A72C21">
      <w:pPr>
        <w:pStyle w:val="Heading1"/>
      </w:pPr>
      <w:r w:rsidRPr="00CE0E94">
        <w:t>Taastuvenergia</w:t>
      </w:r>
    </w:p>
    <w:p w:rsidR="00A72C21" w:rsidRPr="00CE0E94" w:rsidRDefault="00A72C21" w:rsidP="00950ADB">
      <w:pPr>
        <w:rPr>
          <w:rFonts w:cs="Arial"/>
        </w:rPr>
      </w:pPr>
      <w:r w:rsidRPr="00CE0E94">
        <w:rPr>
          <w:rFonts w:cs="Arial"/>
        </w:rPr>
        <w:t>Et tagada Tartu linna energiamajanduse areng vastavalt globaalsetele energiakasutuse eesmärkidele on käesolevas üldplaneeringus kavandatud lisaks fun</w:t>
      </w:r>
      <w:r w:rsidR="00C00DE9" w:rsidRPr="00CE0E94">
        <w:rPr>
          <w:rFonts w:cs="Arial"/>
        </w:rPr>
        <w:t>k</w:t>
      </w:r>
      <w:r w:rsidRPr="00CE0E94">
        <w:rPr>
          <w:rFonts w:cs="Arial"/>
        </w:rPr>
        <w:t>tsioneerivate energiaressursside kasutussüsteemide</w:t>
      </w:r>
      <w:r w:rsidR="00C00DE9" w:rsidRPr="00CE0E94">
        <w:rPr>
          <w:rFonts w:cs="Arial"/>
        </w:rPr>
        <w:t xml:space="preserve"> arengutele</w:t>
      </w:r>
      <w:r w:rsidRPr="00CE0E94">
        <w:rPr>
          <w:rFonts w:cs="Arial"/>
        </w:rPr>
        <w:t xml:space="preserve">  võimaluse</w:t>
      </w:r>
      <w:r w:rsidR="00C00DE9" w:rsidRPr="00CE0E94">
        <w:rPr>
          <w:rFonts w:cs="Arial"/>
        </w:rPr>
        <w:t>d maa- päikese</w:t>
      </w:r>
      <w:r w:rsidR="008F3512">
        <w:rPr>
          <w:rFonts w:cs="Arial"/>
        </w:rPr>
        <w:t>-</w:t>
      </w:r>
      <w:r w:rsidR="00C00DE9" w:rsidRPr="00CE0E94">
        <w:rPr>
          <w:rFonts w:cs="Arial"/>
        </w:rPr>
        <w:t xml:space="preserve"> ja tuuleenergia </w:t>
      </w:r>
      <w:r w:rsidRPr="00CE0E94">
        <w:rPr>
          <w:rFonts w:cs="Arial"/>
        </w:rPr>
        <w:t>kasutamiseks</w:t>
      </w:r>
      <w:r w:rsidR="00C00DE9" w:rsidRPr="00CE0E94">
        <w:rPr>
          <w:rFonts w:cs="Arial"/>
        </w:rPr>
        <w:t>.</w:t>
      </w:r>
    </w:p>
    <w:p w:rsidR="00C00DE9" w:rsidRPr="00CE0E94" w:rsidRDefault="00C00DE9" w:rsidP="00950ADB">
      <w:pPr>
        <w:rPr>
          <w:rFonts w:cs="Arial"/>
        </w:rPr>
      </w:pPr>
      <w:r w:rsidRPr="00CE0E94">
        <w:rPr>
          <w:rFonts w:cs="Arial"/>
        </w:rPr>
        <w:t>E</w:t>
      </w:r>
      <w:r w:rsidR="005512DC" w:rsidRPr="00CE0E94">
        <w:rPr>
          <w:rFonts w:cs="Arial"/>
        </w:rPr>
        <w:t>esmärgiga kasutada taastuvenergia</w:t>
      </w:r>
      <w:r w:rsidRPr="00CE0E94">
        <w:rPr>
          <w:rFonts w:cs="Arial"/>
        </w:rPr>
        <w:t>t võimalikult maksimaalsel moel, tuleb selle kasutam</w:t>
      </w:r>
      <w:r w:rsidR="005512DC" w:rsidRPr="00CE0E94">
        <w:rPr>
          <w:rFonts w:cs="Arial"/>
        </w:rPr>
        <w:t>i</w:t>
      </w:r>
      <w:r w:rsidRPr="00CE0E94">
        <w:rPr>
          <w:rFonts w:cs="Arial"/>
        </w:rPr>
        <w:t>st kavandada juba alates detailplaneeringu staadiumist</w:t>
      </w:r>
      <w:r w:rsidR="001C3545">
        <w:rPr>
          <w:rFonts w:cs="Arial"/>
        </w:rPr>
        <w:t xml:space="preserve"> või hoone projekteerimise algfaasis</w:t>
      </w:r>
      <w:r w:rsidRPr="00CE0E94">
        <w:rPr>
          <w:rFonts w:cs="Arial"/>
        </w:rPr>
        <w:t>.</w:t>
      </w:r>
    </w:p>
    <w:p w:rsidR="008E2539" w:rsidRPr="00CE0E94" w:rsidRDefault="008E2539" w:rsidP="008E2539">
      <w:pPr>
        <w:jc w:val="both"/>
      </w:pPr>
      <w:r w:rsidRPr="00CE0E94">
        <w:t xml:space="preserve">Detailplaneeringute </w:t>
      </w:r>
      <w:r w:rsidR="001C3545">
        <w:t xml:space="preserve">ja hoone projekti </w:t>
      </w:r>
      <w:r w:rsidRPr="00CE0E94">
        <w:t>koostamisel tuleb märkida taastuvenergia kasutamise lubatavus või selle keeld olenevalt ala asukohast. Planeeringu mahus analüüsida alternatiivsete energiaallikate kasutamise võimalikkust/soovi. Tuua välja:</w:t>
      </w:r>
    </w:p>
    <w:p w:rsidR="008E2539" w:rsidRPr="00CE0E94" w:rsidRDefault="008E2539" w:rsidP="008E2539">
      <w:pPr>
        <w:pStyle w:val="ListParagraph"/>
        <w:numPr>
          <w:ilvl w:val="0"/>
          <w:numId w:val="9"/>
        </w:numPr>
        <w:spacing w:after="200" w:line="276" w:lineRule="auto"/>
        <w:rPr>
          <w:sz w:val="22"/>
          <w:szCs w:val="22"/>
        </w:rPr>
      </w:pPr>
      <w:r w:rsidRPr="00CE0E94">
        <w:rPr>
          <w:sz w:val="22"/>
          <w:szCs w:val="22"/>
        </w:rPr>
        <w:t xml:space="preserve">Millised on </w:t>
      </w:r>
      <w:r w:rsidR="00A95522">
        <w:rPr>
          <w:sz w:val="22"/>
          <w:szCs w:val="22"/>
        </w:rPr>
        <w:t>taastuvenergia</w:t>
      </w:r>
      <w:r w:rsidRPr="00CE0E94">
        <w:rPr>
          <w:sz w:val="22"/>
          <w:szCs w:val="22"/>
        </w:rPr>
        <w:t xml:space="preserve"> võimalused (hoonete paiknemine ilmakaarte suhtes, maapinna reljeef, tuulte suunad jne);</w:t>
      </w:r>
    </w:p>
    <w:p w:rsidR="008E2539" w:rsidRPr="00CE0E94" w:rsidRDefault="008E2539" w:rsidP="008E2539">
      <w:pPr>
        <w:pStyle w:val="ListParagraph"/>
        <w:numPr>
          <w:ilvl w:val="0"/>
          <w:numId w:val="9"/>
        </w:numPr>
        <w:spacing w:after="200" w:line="276" w:lineRule="auto"/>
        <w:rPr>
          <w:sz w:val="22"/>
          <w:szCs w:val="22"/>
        </w:rPr>
      </w:pPr>
      <w:r w:rsidRPr="00CE0E94">
        <w:rPr>
          <w:sz w:val="22"/>
          <w:szCs w:val="22"/>
        </w:rPr>
        <w:t>Kas taastuvenergia allikate kasutamiseks on antud ala suhtes kehtestatud kitsendusi. Tuua need välja ja kavandada lahendus/esitada nõuded projekteerimiseks arvestades kehtestatud kitsendusi;</w:t>
      </w:r>
    </w:p>
    <w:p w:rsidR="008E2539" w:rsidRPr="00CE0E94" w:rsidRDefault="008E2539" w:rsidP="008E2539">
      <w:pPr>
        <w:pStyle w:val="ListParagraph"/>
        <w:numPr>
          <w:ilvl w:val="0"/>
          <w:numId w:val="9"/>
        </w:numPr>
        <w:spacing w:after="200" w:line="276" w:lineRule="auto"/>
        <w:rPr>
          <w:sz w:val="22"/>
          <w:szCs w:val="22"/>
        </w:rPr>
      </w:pPr>
      <w:r w:rsidRPr="00CE0E94">
        <w:rPr>
          <w:sz w:val="22"/>
          <w:szCs w:val="22"/>
        </w:rPr>
        <w:t>Tuua välja nõuded ja tingimused ning kavandada lahendus/esitada nõuded projekteerimiseks vastavalt kehtestatud nõuetele ja tingimustele.</w:t>
      </w:r>
    </w:p>
    <w:p w:rsidR="00A95522" w:rsidRDefault="00A95522" w:rsidP="008E2539">
      <w:pPr>
        <w:jc w:val="both"/>
      </w:pPr>
      <w:r w:rsidRPr="00CE0E94">
        <w:lastRenderedPageBreak/>
        <w:t xml:space="preserve">Oluline on arhitektide ja inseneride omavaheline hea koostöö, mis tagab uudsete säästvate lahenduste ellurakendamise. Hea ja eeskujuliku  energiavarustuse lahenduse töötavad küll välja eriosade insenerid, kuid ilma läbimõeldud hoone arhitektuurse lahenduseta ei ole võimalik saavutada energiasäästu, ega rakendada kohalikke energiatehnoloogiaid. </w:t>
      </w:r>
    </w:p>
    <w:p w:rsidR="008E2539" w:rsidRPr="00CE0E94" w:rsidRDefault="00171FA4" w:rsidP="008E2539">
      <w:pPr>
        <w:jc w:val="both"/>
      </w:pPr>
      <w:r w:rsidRPr="00CE0E94">
        <w:t>T</w:t>
      </w:r>
      <w:r w:rsidR="007D681D" w:rsidRPr="00CE0E94">
        <w:t xml:space="preserve">aastuvenergia </w:t>
      </w:r>
      <w:r w:rsidRPr="00CE0E94">
        <w:t xml:space="preserve">päikese- ja tuule energeetika </w:t>
      </w:r>
      <w:r w:rsidR="007D681D" w:rsidRPr="00CE0E94">
        <w:t xml:space="preserve">kasutamiseks </w:t>
      </w:r>
      <w:r w:rsidRPr="00CE0E94">
        <w:t>kehtivad erinevad reeglid erinevates piirkondades:</w:t>
      </w:r>
    </w:p>
    <w:p w:rsidR="007D681D" w:rsidRPr="00CE0E94" w:rsidRDefault="007D681D" w:rsidP="007D681D">
      <w:pPr>
        <w:pStyle w:val="ListParagraph"/>
        <w:numPr>
          <w:ilvl w:val="0"/>
          <w:numId w:val="22"/>
        </w:numPr>
        <w:rPr>
          <w:sz w:val="22"/>
          <w:szCs w:val="22"/>
        </w:rPr>
      </w:pPr>
      <w:r w:rsidRPr="00CE0E94">
        <w:rPr>
          <w:sz w:val="22"/>
          <w:szCs w:val="22"/>
        </w:rPr>
        <w:t>Korterelamute piirkonnad (kõrg-(tihe)hoonestusega alad)</w:t>
      </w:r>
    </w:p>
    <w:p w:rsidR="007D681D" w:rsidRPr="00CE0E94" w:rsidRDefault="007D681D" w:rsidP="007D681D">
      <w:pPr>
        <w:pStyle w:val="ListParagraph"/>
        <w:numPr>
          <w:ilvl w:val="0"/>
          <w:numId w:val="22"/>
        </w:numPr>
        <w:rPr>
          <w:sz w:val="22"/>
          <w:szCs w:val="22"/>
        </w:rPr>
      </w:pPr>
      <w:r w:rsidRPr="00CE0E94">
        <w:rPr>
          <w:sz w:val="22"/>
          <w:szCs w:val="22"/>
        </w:rPr>
        <w:t>Väike- ja korterelamute piirkonnad (madal-tihehoonestusega alad, kuni 2 täiskorrust).</w:t>
      </w:r>
    </w:p>
    <w:p w:rsidR="007D681D" w:rsidRPr="00CE0E94" w:rsidRDefault="007D681D" w:rsidP="007D681D">
      <w:pPr>
        <w:pStyle w:val="ListParagraph"/>
        <w:numPr>
          <w:ilvl w:val="0"/>
          <w:numId w:val="22"/>
        </w:numPr>
        <w:spacing w:after="200" w:line="276" w:lineRule="auto"/>
        <w:rPr>
          <w:sz w:val="22"/>
          <w:szCs w:val="22"/>
        </w:rPr>
      </w:pPr>
      <w:r w:rsidRPr="00CE0E94">
        <w:rPr>
          <w:sz w:val="22"/>
          <w:szCs w:val="22"/>
        </w:rPr>
        <w:t>Suured kaubanduskeskused, administratiivhooned, tervishoiuasutused, spordikeskused, haridusasutused jmt.</w:t>
      </w:r>
    </w:p>
    <w:p w:rsidR="007D681D" w:rsidRPr="00CE0E94" w:rsidRDefault="007D681D" w:rsidP="007D681D">
      <w:pPr>
        <w:pStyle w:val="ListParagraph"/>
        <w:numPr>
          <w:ilvl w:val="0"/>
          <w:numId w:val="22"/>
        </w:numPr>
        <w:spacing w:after="200" w:line="276" w:lineRule="auto"/>
        <w:rPr>
          <w:sz w:val="22"/>
          <w:szCs w:val="22"/>
        </w:rPr>
      </w:pPr>
      <w:r w:rsidRPr="00CE0E94">
        <w:rPr>
          <w:sz w:val="22"/>
          <w:szCs w:val="22"/>
        </w:rPr>
        <w:t>Tööstuspiirkonnad.</w:t>
      </w:r>
    </w:p>
    <w:p w:rsidR="007D681D" w:rsidRPr="00CE0E94" w:rsidRDefault="007D681D" w:rsidP="007D681D">
      <w:pPr>
        <w:pStyle w:val="ListParagraph"/>
        <w:numPr>
          <w:ilvl w:val="0"/>
          <w:numId w:val="22"/>
        </w:numPr>
        <w:spacing w:after="200" w:line="276" w:lineRule="auto"/>
        <w:rPr>
          <w:sz w:val="22"/>
          <w:szCs w:val="22"/>
        </w:rPr>
      </w:pPr>
      <w:r w:rsidRPr="00CE0E94">
        <w:rPr>
          <w:sz w:val="22"/>
          <w:szCs w:val="22"/>
        </w:rPr>
        <w:t>Vanalinna muinsuskaitseala ja selle kaitsevöönd; miljööväärtuslikud hoonestusalad.</w:t>
      </w:r>
    </w:p>
    <w:p w:rsidR="007D681D" w:rsidRPr="00CE0E94" w:rsidRDefault="007D681D" w:rsidP="007D681D">
      <w:pPr>
        <w:pStyle w:val="ListParagraph"/>
        <w:numPr>
          <w:ilvl w:val="0"/>
          <w:numId w:val="22"/>
        </w:numPr>
        <w:spacing w:after="200" w:line="276" w:lineRule="auto"/>
        <w:rPr>
          <w:sz w:val="22"/>
          <w:szCs w:val="22"/>
        </w:rPr>
      </w:pPr>
      <w:r w:rsidRPr="00CE0E94">
        <w:rPr>
          <w:sz w:val="22"/>
          <w:szCs w:val="22"/>
        </w:rPr>
        <w:t xml:space="preserve">Hajusa hoonestusega avalikus kasutuses olevad piirkonnad, puhkealad. </w:t>
      </w:r>
    </w:p>
    <w:p w:rsidR="007D681D" w:rsidRPr="00CE0E94" w:rsidRDefault="007D681D" w:rsidP="007D681D">
      <w:pPr>
        <w:pStyle w:val="ListParagraph"/>
        <w:numPr>
          <w:ilvl w:val="0"/>
          <w:numId w:val="22"/>
        </w:numPr>
        <w:spacing w:after="200" w:line="276" w:lineRule="auto"/>
        <w:rPr>
          <w:sz w:val="22"/>
          <w:szCs w:val="22"/>
        </w:rPr>
      </w:pPr>
      <w:r w:rsidRPr="00CE0E94">
        <w:rPr>
          <w:sz w:val="22"/>
          <w:szCs w:val="22"/>
        </w:rPr>
        <w:t>Joonobjektid (sillad, viaduktid, tänavakoridorid).</w:t>
      </w:r>
    </w:p>
    <w:p w:rsidR="007D681D" w:rsidRPr="00CE0E94" w:rsidRDefault="007D681D" w:rsidP="007D681D">
      <w:pPr>
        <w:pStyle w:val="ListParagraph"/>
        <w:numPr>
          <w:ilvl w:val="1"/>
          <w:numId w:val="22"/>
        </w:numPr>
        <w:spacing w:after="200" w:line="276" w:lineRule="auto"/>
        <w:rPr>
          <w:sz w:val="22"/>
          <w:szCs w:val="22"/>
        </w:rPr>
      </w:pPr>
      <w:r w:rsidRPr="00CE0E94">
        <w:rPr>
          <w:sz w:val="22"/>
          <w:szCs w:val="22"/>
        </w:rPr>
        <w:t>Raudtee.</w:t>
      </w:r>
    </w:p>
    <w:p w:rsidR="007D681D" w:rsidRPr="00CE0E94" w:rsidRDefault="007D681D" w:rsidP="007D681D">
      <w:pPr>
        <w:pStyle w:val="ListParagraph"/>
        <w:numPr>
          <w:ilvl w:val="0"/>
          <w:numId w:val="22"/>
        </w:numPr>
        <w:spacing w:after="200" w:line="276" w:lineRule="auto"/>
        <w:rPr>
          <w:sz w:val="22"/>
          <w:szCs w:val="22"/>
        </w:rPr>
      </w:pPr>
      <w:r w:rsidRPr="00CE0E94">
        <w:rPr>
          <w:sz w:val="22"/>
          <w:szCs w:val="22"/>
        </w:rPr>
        <w:t>Linnasisene looduskaitseala</w:t>
      </w:r>
    </w:p>
    <w:p w:rsidR="00BF6B9E" w:rsidRPr="001D75D5" w:rsidRDefault="00104725" w:rsidP="00A20F8C">
      <w:pPr>
        <w:pStyle w:val="Heading1"/>
        <w:numPr>
          <w:ilvl w:val="0"/>
          <w:numId w:val="0"/>
        </w:numPr>
        <w:rPr>
          <w:color w:val="4F81BD" w:themeColor="accent1"/>
        </w:rPr>
      </w:pPr>
      <w:r w:rsidRPr="001D75D5">
        <w:rPr>
          <w:color w:val="4F81BD" w:themeColor="accent1"/>
        </w:rPr>
        <w:t>8.1</w:t>
      </w:r>
      <w:r w:rsidR="00C00DE9" w:rsidRPr="001D75D5">
        <w:rPr>
          <w:color w:val="4F81BD" w:themeColor="accent1"/>
        </w:rPr>
        <w:t xml:space="preserve"> </w:t>
      </w:r>
      <w:r w:rsidR="00BF6B9E" w:rsidRPr="001D75D5">
        <w:rPr>
          <w:color w:val="4F81BD" w:themeColor="accent1"/>
        </w:rPr>
        <w:t>Maasoojus</w:t>
      </w:r>
    </w:p>
    <w:p w:rsidR="001C3545" w:rsidRPr="001D75D5" w:rsidRDefault="00104725" w:rsidP="001C3545">
      <w:pPr>
        <w:pStyle w:val="Heading2"/>
        <w:widowControl w:val="0"/>
        <w:numPr>
          <w:ilvl w:val="0"/>
          <w:numId w:val="0"/>
        </w:numPr>
        <w:suppressAutoHyphens/>
        <w:spacing w:before="270" w:after="90" w:line="270" w:lineRule="exact"/>
        <w:jc w:val="both"/>
      </w:pPr>
      <w:bookmarkStart w:id="13" w:name="_Toc340558105"/>
      <w:r w:rsidRPr="001D75D5">
        <w:t>8.1.1.</w:t>
      </w:r>
      <w:r w:rsidR="00A95522" w:rsidRPr="001D75D5">
        <w:t xml:space="preserve"> </w:t>
      </w:r>
      <w:r w:rsidR="007D650B" w:rsidRPr="001D75D5">
        <w:t>Sobivad maasoojussüsteemid</w:t>
      </w:r>
      <w:bookmarkEnd w:id="13"/>
      <w:r w:rsidR="007D650B" w:rsidRPr="001D75D5">
        <w:t xml:space="preserve"> ja nõuded nende rajamisel</w:t>
      </w:r>
    </w:p>
    <w:p w:rsidR="001C3545" w:rsidRPr="001C3545" w:rsidRDefault="001C3545" w:rsidP="001C3545">
      <w:r>
        <w:t>Maasoojussüsteemide sobivusalad lähtudes geoloogilistest ja looduslikest tingimustest on toodud joonisel 1.</w:t>
      </w:r>
    </w:p>
    <w:p w:rsidR="007D650B" w:rsidRPr="00D6001B" w:rsidRDefault="007D650B" w:rsidP="007D650B">
      <w:pPr>
        <w:pStyle w:val="Keha1"/>
        <w:rPr>
          <w:sz w:val="22"/>
          <w:szCs w:val="22"/>
        </w:rPr>
      </w:pPr>
      <w:r w:rsidRPr="00D6001B">
        <w:rPr>
          <w:sz w:val="22"/>
          <w:szCs w:val="22"/>
        </w:rPr>
        <w:t xml:space="preserve">Kasutamiseks sobivad otseaurustita kinnised horisontaalsed ja vertikaalsed maasoojussüsteemid. </w:t>
      </w:r>
    </w:p>
    <w:p w:rsidR="007D650B" w:rsidRPr="00D6001B" w:rsidRDefault="007D650B" w:rsidP="007D650B">
      <w:pPr>
        <w:pStyle w:val="BodyText"/>
        <w:rPr>
          <w:sz w:val="22"/>
          <w:szCs w:val="22"/>
          <w:lang w:eastAsia="en-US"/>
        </w:rPr>
      </w:pPr>
      <w:r w:rsidRPr="00D6001B">
        <w:rPr>
          <w:sz w:val="22"/>
          <w:szCs w:val="22"/>
        </w:rPr>
        <w:t xml:space="preserve">Maasoojussüsteemide soojuskandevedelikus võib Tartus kasutada keskkonnaohutuid  aineid. </w:t>
      </w:r>
      <w:r w:rsidRPr="00D6001B">
        <w:rPr>
          <w:sz w:val="22"/>
          <w:szCs w:val="22"/>
          <w:lang w:eastAsia="en-US"/>
        </w:rPr>
        <w:t>Kasutatava soojuskandevedeliku kohta peab olema ohutuskaart.</w:t>
      </w:r>
    </w:p>
    <w:p w:rsidR="007D650B" w:rsidRPr="00D6001B" w:rsidRDefault="007D650B" w:rsidP="007D650B">
      <w:pPr>
        <w:pStyle w:val="Keha1"/>
        <w:rPr>
          <w:sz w:val="22"/>
          <w:szCs w:val="22"/>
        </w:rPr>
      </w:pPr>
      <w:r w:rsidRPr="00D6001B">
        <w:rPr>
          <w:sz w:val="22"/>
          <w:szCs w:val="22"/>
        </w:rPr>
        <w:t>Lubatud on soojuspuurauke rajada Narva lademe veepidemest (</w:t>
      </w:r>
      <w:proofErr w:type="spellStart"/>
      <w:r w:rsidRPr="00D6001B">
        <w:rPr>
          <w:sz w:val="22"/>
          <w:szCs w:val="22"/>
        </w:rPr>
        <w:t>Leivu</w:t>
      </w:r>
      <w:proofErr w:type="spellEnd"/>
      <w:r w:rsidRPr="00D6001B">
        <w:rPr>
          <w:sz w:val="22"/>
          <w:szCs w:val="22"/>
        </w:rPr>
        <w:t xml:space="preserve"> + </w:t>
      </w:r>
      <w:proofErr w:type="spellStart"/>
      <w:r w:rsidRPr="00D6001B">
        <w:rPr>
          <w:sz w:val="22"/>
          <w:szCs w:val="22"/>
        </w:rPr>
        <w:t>Vadja</w:t>
      </w:r>
      <w:proofErr w:type="spellEnd"/>
      <w:r w:rsidRPr="00D6001B">
        <w:rPr>
          <w:sz w:val="22"/>
          <w:szCs w:val="22"/>
        </w:rPr>
        <w:t xml:space="preserve"> kihistud) kõrgemal lasuvatesse pinnasekihtidesse</w:t>
      </w:r>
      <w:r w:rsidRPr="00D6001B">
        <w:rPr>
          <w:rStyle w:val="FootnoteReference"/>
          <w:rFonts w:eastAsiaTheme="majorEastAsia"/>
          <w:sz w:val="22"/>
          <w:szCs w:val="22"/>
        </w:rPr>
        <w:footnoteReference w:id="1"/>
      </w:r>
      <w:r w:rsidRPr="00D6001B">
        <w:rPr>
          <w:sz w:val="22"/>
          <w:szCs w:val="22"/>
        </w:rPr>
        <w:t>.</w:t>
      </w:r>
    </w:p>
    <w:p w:rsidR="007D650B" w:rsidRPr="00D6001B" w:rsidRDefault="007D650B" w:rsidP="007D650B">
      <w:pPr>
        <w:pStyle w:val="Keha1"/>
        <w:rPr>
          <w:sz w:val="22"/>
          <w:szCs w:val="22"/>
        </w:rPr>
      </w:pPr>
      <w:r w:rsidRPr="00D6001B">
        <w:rPr>
          <w:sz w:val="22"/>
          <w:szCs w:val="22"/>
        </w:rPr>
        <w:t xml:space="preserve">Maasoojussüsteemide rajamine on keelatud veehaarete sanitaarkaitsealadel ja </w:t>
      </w:r>
      <w:proofErr w:type="spellStart"/>
      <w:r w:rsidRPr="00D6001B">
        <w:rPr>
          <w:sz w:val="22"/>
          <w:szCs w:val="22"/>
        </w:rPr>
        <w:t>Meltsiveski</w:t>
      </w:r>
      <w:proofErr w:type="spellEnd"/>
      <w:r w:rsidRPr="00D6001B">
        <w:rPr>
          <w:sz w:val="22"/>
          <w:szCs w:val="22"/>
        </w:rPr>
        <w:t xml:space="preserve"> veehaarde arvutatud III sanitaarkaitsevööndis.</w:t>
      </w:r>
    </w:p>
    <w:p w:rsidR="007D650B" w:rsidRPr="00D6001B" w:rsidRDefault="007D650B" w:rsidP="007D650B">
      <w:pPr>
        <w:pStyle w:val="BodyText"/>
        <w:rPr>
          <w:sz w:val="22"/>
          <w:szCs w:val="22"/>
          <w:lang w:eastAsia="en-US"/>
        </w:rPr>
      </w:pPr>
      <w:r w:rsidRPr="00D6001B">
        <w:rPr>
          <w:sz w:val="22"/>
          <w:szCs w:val="22"/>
          <w:lang w:eastAsia="en-US"/>
        </w:rPr>
        <w:t xml:space="preserve">Soojuspuuraukude ja horisontaalsete maasoojussüsteemide rajamine pole lubatud Kesk-Devoni veekihi Anne  ja AS </w:t>
      </w:r>
      <w:proofErr w:type="spellStart"/>
      <w:r w:rsidRPr="00D6001B">
        <w:rPr>
          <w:sz w:val="22"/>
          <w:szCs w:val="22"/>
          <w:lang w:eastAsia="en-US"/>
        </w:rPr>
        <w:t>Grüne</w:t>
      </w:r>
      <w:proofErr w:type="spellEnd"/>
      <w:r w:rsidRPr="00D6001B">
        <w:rPr>
          <w:sz w:val="22"/>
          <w:szCs w:val="22"/>
          <w:lang w:eastAsia="en-US"/>
        </w:rPr>
        <w:t xml:space="preserve"> Fee veehaaretest 200 m raadiuses</w:t>
      </w:r>
      <w:r w:rsidRPr="00D6001B">
        <w:rPr>
          <w:rStyle w:val="FootnoteReference"/>
          <w:rFonts w:eastAsiaTheme="majorEastAsia"/>
          <w:sz w:val="22"/>
          <w:szCs w:val="22"/>
          <w:lang w:eastAsia="en-US"/>
        </w:rPr>
        <w:footnoteReference w:id="2"/>
      </w:r>
      <w:r w:rsidRPr="00D6001B">
        <w:rPr>
          <w:sz w:val="22"/>
          <w:szCs w:val="22"/>
          <w:lang w:eastAsia="en-US"/>
        </w:rPr>
        <w:t xml:space="preserve"> kuna kasutatav põhjaveekiht pole kaitstud.</w:t>
      </w:r>
    </w:p>
    <w:p w:rsidR="007D650B" w:rsidRDefault="007D650B" w:rsidP="007D650B">
      <w:pPr>
        <w:pStyle w:val="BodyText"/>
        <w:rPr>
          <w:sz w:val="22"/>
          <w:szCs w:val="22"/>
          <w:lang w:eastAsia="en-US"/>
        </w:rPr>
      </w:pPr>
      <w:r w:rsidRPr="00D6001B">
        <w:rPr>
          <w:sz w:val="22"/>
          <w:szCs w:val="22"/>
          <w:lang w:eastAsia="en-US"/>
        </w:rPr>
        <w:t>Kuna osade puurkaevude</w:t>
      </w:r>
      <w:r w:rsidRPr="00D6001B">
        <w:rPr>
          <w:rStyle w:val="FootnoteReference"/>
          <w:rFonts w:eastAsiaTheme="majorEastAsia"/>
          <w:sz w:val="22"/>
          <w:szCs w:val="22"/>
          <w:lang w:eastAsia="en-US"/>
        </w:rPr>
        <w:footnoteReference w:id="3"/>
      </w:r>
      <w:r w:rsidRPr="00D6001B">
        <w:rPr>
          <w:sz w:val="22"/>
          <w:szCs w:val="22"/>
          <w:lang w:eastAsia="en-US"/>
        </w:rPr>
        <w:t xml:space="preserve"> praegusest kasutamisest ja seisundist pole keskkonnaregistris piisavalt teavet, on soovitav nende puurkaevude puhul kuni asjaolude selgumiseni rakendada soojuspuuraukude ja horisontaalsete maasoojussüsteemide rajamise keeldu 50 m ulatuses (so maksimaalne potentsiaalse sanitaarkaitseala ulatus, kui kaevu ei tampoonita või ei kvalifitseerita ümber seirepuurauguks).</w:t>
      </w:r>
    </w:p>
    <w:p w:rsidR="00793F81" w:rsidRPr="00D6001B" w:rsidRDefault="00793F81" w:rsidP="00793F81">
      <w:pPr>
        <w:pStyle w:val="BodyText"/>
        <w:rPr>
          <w:sz w:val="22"/>
          <w:szCs w:val="22"/>
        </w:rPr>
      </w:pPr>
      <w:r w:rsidRPr="00D6001B">
        <w:rPr>
          <w:sz w:val="22"/>
          <w:szCs w:val="22"/>
          <w:lang w:eastAsia="en-US"/>
        </w:rPr>
        <w:lastRenderedPageBreak/>
        <w:t>Kinnismälestisel, selle kaitsevööndis ja muinsuskaitsealal maasoojussüsteemi rajamiseks tuleb luba küsida Muinsuskaitseametist.</w:t>
      </w:r>
    </w:p>
    <w:p w:rsidR="007D650B" w:rsidRPr="001D75D5" w:rsidRDefault="00104725" w:rsidP="00A20F8C">
      <w:pPr>
        <w:pStyle w:val="Heading2"/>
        <w:widowControl w:val="0"/>
        <w:numPr>
          <w:ilvl w:val="0"/>
          <w:numId w:val="0"/>
        </w:numPr>
        <w:suppressAutoHyphens/>
        <w:spacing w:before="270" w:after="90" w:line="270" w:lineRule="exact"/>
        <w:ind w:left="576" w:hanging="576"/>
        <w:jc w:val="both"/>
      </w:pPr>
      <w:bookmarkStart w:id="14" w:name="_Toc340558107"/>
      <w:r w:rsidRPr="001D75D5">
        <w:t xml:space="preserve">8.1.2. </w:t>
      </w:r>
      <w:r w:rsidR="007D650B" w:rsidRPr="001D75D5">
        <w:t>Maasoojussüsteemi kajastamine planeeri</w:t>
      </w:r>
      <w:r w:rsidR="00D03630" w:rsidRPr="001D75D5">
        <w:t>mis-projekteerimisprotsessis</w:t>
      </w:r>
      <w:bookmarkEnd w:id="14"/>
    </w:p>
    <w:p w:rsidR="00171FA4" w:rsidRPr="00D6001B" w:rsidRDefault="007D650B" w:rsidP="007D650B">
      <w:pPr>
        <w:pStyle w:val="Keha1"/>
        <w:rPr>
          <w:sz w:val="22"/>
          <w:szCs w:val="22"/>
        </w:rPr>
      </w:pPr>
      <w:r w:rsidRPr="00D6001B">
        <w:rPr>
          <w:sz w:val="22"/>
          <w:szCs w:val="22"/>
        </w:rPr>
        <w:t xml:space="preserve">Maasoojussüsteemi </w:t>
      </w:r>
      <w:r w:rsidR="001C3545">
        <w:rPr>
          <w:sz w:val="22"/>
          <w:szCs w:val="22"/>
        </w:rPr>
        <w:t>rajamist käsitlevas dokumendi</w:t>
      </w:r>
      <w:r w:rsidR="00793F81">
        <w:rPr>
          <w:sz w:val="22"/>
          <w:szCs w:val="22"/>
        </w:rPr>
        <w:t xml:space="preserve">s </w:t>
      </w:r>
      <w:r w:rsidR="001C3545">
        <w:rPr>
          <w:sz w:val="22"/>
          <w:szCs w:val="22"/>
        </w:rPr>
        <w:t>(</w:t>
      </w:r>
      <w:r w:rsidR="00793F81">
        <w:rPr>
          <w:sz w:val="22"/>
          <w:szCs w:val="22"/>
        </w:rPr>
        <w:t>detailplaneering, hoone projekt)</w:t>
      </w:r>
      <w:r w:rsidRPr="00D6001B">
        <w:rPr>
          <w:sz w:val="22"/>
          <w:szCs w:val="22"/>
        </w:rPr>
        <w:t xml:space="preserve"> on vajalik näidata maasoojussüsteemi eesmärk kütmiseks ja/või jahutamiseks,  võimsus, tüüp: kinnise kontuuriga horisontaalne (võib olla ka vertikaalsete loogete või spiraalina), kinnise kontuuriga soojuspuurauk või puuraugud. </w:t>
      </w:r>
    </w:p>
    <w:p w:rsidR="007D650B" w:rsidRPr="00D6001B" w:rsidRDefault="007D650B" w:rsidP="007D650B">
      <w:pPr>
        <w:pStyle w:val="Keha1"/>
        <w:rPr>
          <w:sz w:val="22"/>
          <w:szCs w:val="22"/>
        </w:rPr>
      </w:pPr>
      <w:r w:rsidRPr="00D6001B">
        <w:rPr>
          <w:sz w:val="22"/>
          <w:szCs w:val="22"/>
        </w:rPr>
        <w:t>Tingimuseks tuleb seada keskkonnaohutute ainete kasutamine soojuskandeved</w:t>
      </w:r>
      <w:r w:rsidR="005C6830">
        <w:rPr>
          <w:sz w:val="22"/>
          <w:szCs w:val="22"/>
        </w:rPr>
        <w:t xml:space="preserve">elikus külmumise vähendamiseks </w:t>
      </w:r>
      <w:r w:rsidRPr="00D6001B">
        <w:rPr>
          <w:sz w:val="22"/>
          <w:szCs w:val="22"/>
        </w:rPr>
        <w:t>ja</w:t>
      </w:r>
      <w:r w:rsidR="005C6830">
        <w:rPr>
          <w:sz w:val="22"/>
          <w:szCs w:val="22"/>
        </w:rPr>
        <w:t xml:space="preserve"> samuti on vajalik fikseerida </w:t>
      </w:r>
      <w:r w:rsidRPr="00D6001B">
        <w:rPr>
          <w:sz w:val="22"/>
          <w:szCs w:val="22"/>
        </w:rPr>
        <w:t xml:space="preserve">teised </w:t>
      </w:r>
      <w:r w:rsidR="00171FA4" w:rsidRPr="00D6001B">
        <w:rPr>
          <w:sz w:val="22"/>
          <w:szCs w:val="22"/>
        </w:rPr>
        <w:t xml:space="preserve">vajalikud </w:t>
      </w:r>
      <w:r w:rsidRPr="00D6001B">
        <w:rPr>
          <w:sz w:val="22"/>
          <w:szCs w:val="22"/>
        </w:rPr>
        <w:t>täpsustavad nõuded projekteerimistingimusteks vastavalt kavandatud maasoojussüsteemile.</w:t>
      </w:r>
    </w:p>
    <w:p w:rsidR="007D650B" w:rsidRPr="00D6001B" w:rsidRDefault="007D650B" w:rsidP="007D650B">
      <w:pPr>
        <w:pStyle w:val="Keha1"/>
        <w:rPr>
          <w:sz w:val="22"/>
          <w:szCs w:val="22"/>
        </w:rPr>
      </w:pPr>
      <w:r w:rsidRPr="00D6001B">
        <w:rPr>
          <w:sz w:val="22"/>
          <w:szCs w:val="22"/>
        </w:rPr>
        <w:t>Detailplaneeringu plaanil</w:t>
      </w:r>
      <w:r w:rsidR="00793F81">
        <w:rPr>
          <w:sz w:val="22"/>
          <w:szCs w:val="22"/>
        </w:rPr>
        <w:t xml:space="preserve"> või hoone projektdokumentatsioonis</w:t>
      </w:r>
      <w:r w:rsidRPr="00D6001B">
        <w:rPr>
          <w:sz w:val="22"/>
          <w:szCs w:val="22"/>
        </w:rPr>
        <w:t xml:space="preserve"> peab olema näidatud maasoojussüsteemi horisontaalkontuuride paiknemine, selle ühendus hoones </w:t>
      </w:r>
      <w:r w:rsidR="00171FA4" w:rsidRPr="00D6001B">
        <w:rPr>
          <w:sz w:val="22"/>
          <w:szCs w:val="22"/>
        </w:rPr>
        <w:t>kavandatava süsteemiga</w:t>
      </w:r>
      <w:r w:rsidRPr="00D6001B">
        <w:rPr>
          <w:sz w:val="22"/>
          <w:szCs w:val="22"/>
        </w:rPr>
        <w:t xml:space="preserve">. </w:t>
      </w:r>
    </w:p>
    <w:p w:rsidR="007D650B" w:rsidRPr="00D6001B" w:rsidRDefault="007D650B" w:rsidP="007D650B">
      <w:pPr>
        <w:pStyle w:val="BodyText"/>
        <w:rPr>
          <w:sz w:val="22"/>
          <w:szCs w:val="22"/>
          <w:lang w:eastAsia="en-US"/>
        </w:rPr>
      </w:pPr>
      <w:r w:rsidRPr="00D6001B">
        <w:rPr>
          <w:sz w:val="22"/>
          <w:szCs w:val="22"/>
          <w:lang w:eastAsia="en-US"/>
        </w:rPr>
        <w:t>Kinnise kontuuriga hoonevälise soojuspuuraugu projektis tuleb ette näha võimal</w:t>
      </w:r>
      <w:r w:rsidR="00F36C28" w:rsidRPr="00D6001B">
        <w:rPr>
          <w:sz w:val="22"/>
          <w:szCs w:val="22"/>
          <w:lang w:eastAsia="en-US"/>
        </w:rPr>
        <w:t>u</w:t>
      </w:r>
      <w:r w:rsidRPr="00D6001B">
        <w:rPr>
          <w:sz w:val="22"/>
          <w:szCs w:val="22"/>
          <w:lang w:eastAsia="en-US"/>
        </w:rPr>
        <w:t xml:space="preserve">s </w:t>
      </w:r>
      <w:r w:rsidR="00F36C28" w:rsidRPr="00D6001B">
        <w:rPr>
          <w:sz w:val="22"/>
          <w:szCs w:val="22"/>
          <w:lang w:eastAsia="en-US"/>
        </w:rPr>
        <w:t xml:space="preserve">soojuspuuraugu </w:t>
      </w:r>
      <w:r w:rsidRPr="00D6001B">
        <w:rPr>
          <w:sz w:val="22"/>
          <w:szCs w:val="22"/>
          <w:lang w:eastAsia="en-US"/>
        </w:rPr>
        <w:t>hoolduse</w:t>
      </w:r>
      <w:r w:rsidR="00F36C28" w:rsidRPr="00D6001B">
        <w:rPr>
          <w:sz w:val="22"/>
          <w:szCs w:val="22"/>
          <w:lang w:eastAsia="en-US"/>
        </w:rPr>
        <w:t>ks,</w:t>
      </w:r>
      <w:r w:rsidRPr="00D6001B">
        <w:rPr>
          <w:sz w:val="22"/>
          <w:szCs w:val="22"/>
          <w:lang w:eastAsia="en-US"/>
        </w:rPr>
        <w:t xml:space="preserve"> remondi</w:t>
      </w:r>
      <w:r w:rsidR="00F36C28" w:rsidRPr="00D6001B">
        <w:rPr>
          <w:sz w:val="22"/>
          <w:szCs w:val="22"/>
          <w:lang w:eastAsia="en-US"/>
        </w:rPr>
        <w:t>ks</w:t>
      </w:r>
      <w:r w:rsidRPr="00D6001B">
        <w:rPr>
          <w:sz w:val="22"/>
          <w:szCs w:val="22"/>
          <w:lang w:eastAsia="en-US"/>
        </w:rPr>
        <w:t xml:space="preserve"> või likvideerimiseks, seda võib käsitleda ka soojuspuuraugu kaitsealana (soovituslikult vähemalt raadiusega 3 m, kuna peab võimaldama tehnika juurdepääsu). Hoonealustel nn vaia tüüpi soojuspuuraukudel (kohtvai) puudub hooldusala väljaspool hoonekontuuri.</w:t>
      </w:r>
    </w:p>
    <w:p w:rsidR="007D650B" w:rsidRPr="00D6001B" w:rsidRDefault="007D650B" w:rsidP="007D650B">
      <w:pPr>
        <w:pStyle w:val="BodyText"/>
        <w:rPr>
          <w:sz w:val="22"/>
          <w:szCs w:val="22"/>
          <w:lang w:eastAsia="en-US"/>
        </w:rPr>
      </w:pPr>
      <w:r w:rsidRPr="00D6001B">
        <w:rPr>
          <w:sz w:val="22"/>
          <w:szCs w:val="22"/>
          <w:lang w:eastAsia="en-US"/>
        </w:rPr>
        <w:t>Looduskaitseseaduse tähenduses kaitsealadel pole nende kaitse eesmärkidest lähtuvalt ühest keeldu maasoojussüsteemide rajamiseks. Iga looduskaitseala korral tuleb seal maasoojuse kasutamiseks küsida looduskaitseala valitsejalt nõusolek. Soojuspuuraukude rajami</w:t>
      </w:r>
      <w:r w:rsidR="00A20F8C" w:rsidRPr="00D6001B">
        <w:rPr>
          <w:sz w:val="22"/>
          <w:szCs w:val="22"/>
          <w:lang w:eastAsia="en-US"/>
        </w:rPr>
        <w:t>ne ei ole lubatud</w:t>
      </w:r>
      <w:r w:rsidRPr="00D6001B">
        <w:rPr>
          <w:sz w:val="22"/>
          <w:szCs w:val="22"/>
          <w:lang w:eastAsia="en-US"/>
        </w:rPr>
        <w:t xml:space="preserve"> Aruküla koobaste kaitsealal.</w:t>
      </w:r>
    </w:p>
    <w:p w:rsidR="007D650B" w:rsidRPr="00D6001B" w:rsidRDefault="007D650B" w:rsidP="007D650B">
      <w:pPr>
        <w:pStyle w:val="BodyText"/>
        <w:rPr>
          <w:sz w:val="22"/>
          <w:szCs w:val="22"/>
          <w:lang w:eastAsia="en-US"/>
        </w:rPr>
      </w:pPr>
      <w:r w:rsidRPr="00D6001B">
        <w:rPr>
          <w:sz w:val="22"/>
          <w:szCs w:val="22"/>
          <w:lang w:eastAsia="en-US"/>
        </w:rPr>
        <w:t>Reostunud pinnase või veekihiga alale maasoojussüsteemide rajamine enne ala viimist vastavusse nõuetega pole lubatav. Pinnase reostuskahtluse korral tuleb lasta võtta kontrollproovid, kunagise potentsiaalse reostusallika olemasolul teha reostusuuring.</w:t>
      </w:r>
    </w:p>
    <w:p w:rsidR="007D650B" w:rsidRPr="00D6001B" w:rsidRDefault="007D650B" w:rsidP="007D650B">
      <w:pPr>
        <w:pStyle w:val="Keha1"/>
        <w:rPr>
          <w:sz w:val="22"/>
          <w:szCs w:val="22"/>
        </w:rPr>
      </w:pPr>
      <w:r w:rsidRPr="00D6001B">
        <w:rPr>
          <w:sz w:val="22"/>
          <w:szCs w:val="22"/>
        </w:rPr>
        <w:t>Horisontaalse maasoojuskontuuriga alal pea</w:t>
      </w:r>
      <w:r w:rsidR="00A20F8C" w:rsidRPr="00D6001B">
        <w:rPr>
          <w:sz w:val="22"/>
          <w:szCs w:val="22"/>
        </w:rPr>
        <w:t>b</w:t>
      </w:r>
      <w:r w:rsidRPr="00D6001B">
        <w:rPr>
          <w:sz w:val="22"/>
          <w:szCs w:val="22"/>
        </w:rPr>
        <w:t xml:space="preserve"> olema välditud uute ehitiste rajamine kui ehitamisega kaasnevad kaevetööd. Haljastuses tuleb horisontaalse maasoojuskontuuriga alal piirduda madala juurestikuga taimedega, et need ei kahjustaks maasoojussüsteemi. </w:t>
      </w:r>
    </w:p>
    <w:p w:rsidR="007D650B" w:rsidRPr="00D6001B" w:rsidRDefault="00D03630" w:rsidP="007D650B">
      <w:pPr>
        <w:pStyle w:val="Keha1"/>
        <w:rPr>
          <w:sz w:val="22"/>
          <w:szCs w:val="22"/>
        </w:rPr>
      </w:pPr>
      <w:r w:rsidRPr="00D6001B">
        <w:rPr>
          <w:sz w:val="22"/>
          <w:szCs w:val="22"/>
        </w:rPr>
        <w:t xml:space="preserve">Maasoojussüsteemi planeerimisel ja projekteerimisel tuleb tagada minimaalsed kaugused: </w:t>
      </w:r>
    </w:p>
    <w:p w:rsidR="007D650B" w:rsidRPr="00D6001B" w:rsidRDefault="007D650B" w:rsidP="007D650B">
      <w:pPr>
        <w:pStyle w:val="ListParagraph"/>
        <w:numPr>
          <w:ilvl w:val="0"/>
          <w:numId w:val="8"/>
        </w:numPr>
        <w:rPr>
          <w:sz w:val="22"/>
          <w:szCs w:val="22"/>
        </w:rPr>
      </w:pPr>
      <w:r w:rsidRPr="00D6001B">
        <w:rPr>
          <w:sz w:val="22"/>
          <w:szCs w:val="22"/>
        </w:rPr>
        <w:t>5 m kinnistu piirist, soovitavalt 10 m kui kinnistu suurus seda võimaldab</w:t>
      </w:r>
      <w:r w:rsidRPr="00D6001B">
        <w:rPr>
          <w:rStyle w:val="FootnoteReference"/>
          <w:rFonts w:eastAsiaTheme="majorEastAsia"/>
          <w:sz w:val="22"/>
          <w:szCs w:val="22"/>
        </w:rPr>
        <w:footnoteReference w:id="4"/>
      </w:r>
      <w:r w:rsidRPr="00D6001B">
        <w:rPr>
          <w:sz w:val="22"/>
          <w:szCs w:val="22"/>
        </w:rPr>
        <w:t>.</w:t>
      </w:r>
    </w:p>
    <w:p w:rsidR="007D650B" w:rsidRPr="00D6001B" w:rsidRDefault="007D650B" w:rsidP="007D650B">
      <w:pPr>
        <w:pStyle w:val="ListParagraph"/>
        <w:numPr>
          <w:ilvl w:val="0"/>
          <w:numId w:val="8"/>
        </w:numPr>
        <w:rPr>
          <w:sz w:val="22"/>
          <w:szCs w:val="22"/>
        </w:rPr>
      </w:pPr>
      <w:r w:rsidRPr="00D6001B">
        <w:rPr>
          <w:sz w:val="22"/>
          <w:szCs w:val="22"/>
        </w:rPr>
        <w:t>3 m hoone välispiirist.</w:t>
      </w:r>
    </w:p>
    <w:p w:rsidR="007D650B" w:rsidRPr="00D6001B" w:rsidRDefault="007D650B" w:rsidP="007D650B">
      <w:pPr>
        <w:pStyle w:val="ListParagraph"/>
        <w:numPr>
          <w:ilvl w:val="0"/>
          <w:numId w:val="8"/>
        </w:numPr>
        <w:rPr>
          <w:sz w:val="22"/>
          <w:szCs w:val="22"/>
        </w:rPr>
      </w:pPr>
      <w:r w:rsidRPr="00D6001B">
        <w:rPr>
          <w:sz w:val="22"/>
          <w:szCs w:val="22"/>
        </w:rPr>
        <w:t>5 m enamikest maa-alustest torustikest. Võib olla ka väiksem sest vastavalt torustiku kategooriale on kaitsevööndid  2-5 m torustiku teljest (gaasitorustikel ulatub samas kaitsevöönd kuni 15 m).</w:t>
      </w:r>
    </w:p>
    <w:p w:rsidR="007D650B" w:rsidRPr="00D6001B" w:rsidRDefault="007D650B" w:rsidP="007D650B">
      <w:pPr>
        <w:pStyle w:val="ListParagraph"/>
        <w:numPr>
          <w:ilvl w:val="0"/>
          <w:numId w:val="8"/>
        </w:numPr>
        <w:rPr>
          <w:sz w:val="22"/>
          <w:szCs w:val="22"/>
        </w:rPr>
      </w:pPr>
      <w:r w:rsidRPr="00D6001B">
        <w:rPr>
          <w:sz w:val="22"/>
          <w:szCs w:val="22"/>
        </w:rPr>
        <w:t xml:space="preserve">20 m naaberkinnistu soojuspuurauguni. </w:t>
      </w:r>
    </w:p>
    <w:p w:rsidR="007D650B" w:rsidRPr="00D6001B" w:rsidRDefault="007D650B" w:rsidP="007D650B">
      <w:pPr>
        <w:pStyle w:val="ListParagraph"/>
        <w:numPr>
          <w:ilvl w:val="0"/>
          <w:numId w:val="8"/>
        </w:numPr>
        <w:rPr>
          <w:sz w:val="22"/>
          <w:szCs w:val="22"/>
        </w:rPr>
      </w:pPr>
      <w:r w:rsidRPr="00D6001B">
        <w:rPr>
          <w:sz w:val="22"/>
          <w:szCs w:val="22"/>
        </w:rPr>
        <w:t xml:space="preserve">10 m järgmise horisontaalkontuuriga maasoojussüsteemini, soovitavalt 20 m kui kinnistu suurus seda võimaldab. </w:t>
      </w:r>
      <w:bookmarkStart w:id="15" w:name="_GoBack"/>
      <w:bookmarkEnd w:id="15"/>
    </w:p>
    <w:p w:rsidR="007D650B" w:rsidRPr="00D6001B" w:rsidRDefault="007D650B" w:rsidP="007D650B">
      <w:pPr>
        <w:pStyle w:val="ListParagraph"/>
        <w:numPr>
          <w:ilvl w:val="0"/>
          <w:numId w:val="8"/>
        </w:numPr>
        <w:rPr>
          <w:sz w:val="22"/>
          <w:szCs w:val="22"/>
        </w:rPr>
      </w:pPr>
      <w:r w:rsidRPr="00D6001B">
        <w:rPr>
          <w:sz w:val="22"/>
          <w:szCs w:val="22"/>
        </w:rPr>
        <w:t xml:space="preserve">10 m hooldusalaga puurkaevuni või salvkaevuni, kui kaev on samal kinnistul ja kuulub soojussüsteemi omanikule. </w:t>
      </w:r>
    </w:p>
    <w:p w:rsidR="007D650B" w:rsidRPr="00D6001B" w:rsidRDefault="007D650B" w:rsidP="007D650B">
      <w:pPr>
        <w:pStyle w:val="ListParagraph"/>
        <w:numPr>
          <w:ilvl w:val="0"/>
          <w:numId w:val="8"/>
        </w:numPr>
        <w:rPr>
          <w:sz w:val="22"/>
          <w:szCs w:val="22"/>
        </w:rPr>
      </w:pPr>
      <w:r w:rsidRPr="00D6001B">
        <w:rPr>
          <w:sz w:val="22"/>
          <w:szCs w:val="22"/>
        </w:rPr>
        <w:t>20 m naaberkinnistu puurkaevuni või salvkaevuni.</w:t>
      </w:r>
    </w:p>
    <w:p w:rsidR="007D650B" w:rsidRPr="00D6001B" w:rsidRDefault="007D650B" w:rsidP="007D650B">
      <w:pPr>
        <w:pStyle w:val="ListParagraph"/>
        <w:numPr>
          <w:ilvl w:val="0"/>
          <w:numId w:val="8"/>
        </w:numPr>
        <w:rPr>
          <w:sz w:val="22"/>
          <w:szCs w:val="22"/>
        </w:rPr>
      </w:pPr>
      <w:r w:rsidRPr="00D6001B">
        <w:rPr>
          <w:sz w:val="22"/>
          <w:szCs w:val="22"/>
        </w:rPr>
        <w:t>2 m väärtusliku või kaitsealuse puu, põõsa, taime võrast.</w:t>
      </w:r>
    </w:p>
    <w:p w:rsidR="007D650B" w:rsidRPr="00D6001B" w:rsidRDefault="007D650B" w:rsidP="007D650B">
      <w:pPr>
        <w:pStyle w:val="BodyText"/>
        <w:numPr>
          <w:ilvl w:val="0"/>
          <w:numId w:val="8"/>
        </w:numPr>
        <w:rPr>
          <w:sz w:val="22"/>
          <w:szCs w:val="22"/>
          <w:lang w:eastAsia="en-US"/>
        </w:rPr>
      </w:pPr>
      <w:r w:rsidRPr="00D6001B">
        <w:rPr>
          <w:sz w:val="22"/>
          <w:szCs w:val="22"/>
          <w:lang w:eastAsia="en-US"/>
        </w:rPr>
        <w:t xml:space="preserve">3 m kinnise süsteemiga soojuspuuraugu hooldusalana, mida võib käsitleda ka maasoojussüsteemi kaitsealana, peab võimaldama tehnikavahendite juurdepääsu). </w:t>
      </w:r>
    </w:p>
    <w:p w:rsidR="00BF6B9E" w:rsidRPr="001D75D5" w:rsidRDefault="00BF6B9E" w:rsidP="00104725">
      <w:pPr>
        <w:pStyle w:val="Heading1"/>
        <w:numPr>
          <w:ilvl w:val="1"/>
          <w:numId w:val="30"/>
        </w:numPr>
        <w:rPr>
          <w:color w:val="4F81BD" w:themeColor="accent1"/>
        </w:rPr>
      </w:pPr>
      <w:r w:rsidRPr="001D75D5">
        <w:rPr>
          <w:color w:val="4F81BD" w:themeColor="accent1"/>
        </w:rPr>
        <w:lastRenderedPageBreak/>
        <w:t>Päikeseenergia</w:t>
      </w:r>
    </w:p>
    <w:p w:rsidR="008E2539" w:rsidRPr="001D75D5" w:rsidRDefault="008E2539" w:rsidP="008E2539">
      <w:pPr>
        <w:rPr>
          <w:color w:val="4F81BD" w:themeColor="accent1"/>
        </w:rPr>
      </w:pPr>
    </w:p>
    <w:p w:rsidR="008E2539" w:rsidRPr="001D75D5" w:rsidRDefault="008E2539" w:rsidP="00104725">
      <w:pPr>
        <w:pStyle w:val="Heading2"/>
        <w:numPr>
          <w:ilvl w:val="2"/>
          <w:numId w:val="30"/>
        </w:numPr>
      </w:pPr>
      <w:bookmarkStart w:id="16" w:name="_Toc372002919"/>
      <w:bookmarkStart w:id="17" w:name="_Toc375244151"/>
      <w:r w:rsidRPr="001D75D5">
        <w:t>Päikeseenergia kasutamiseks sobivad alad ja tingimused</w:t>
      </w:r>
      <w:bookmarkEnd w:id="16"/>
      <w:bookmarkEnd w:id="17"/>
    </w:p>
    <w:p w:rsidR="001C3545" w:rsidRPr="001C3545" w:rsidRDefault="001C3545" w:rsidP="001C3545">
      <w:r>
        <w:t xml:space="preserve">Päikeseenergia optimaalne ärakasutamine algab hoone orientatsiooni määramisest. </w:t>
      </w:r>
      <w:r w:rsidRPr="00CE0E94">
        <w:t>Tuleb ette näha võimalused päikese otsekasutuseks hoone kütmiseks, valgustamiseks ja ventileerimiseks. Hoone arhitektuur peab võimaldama päikese otsekasutust ja vältima ebaefektiivseid lahendusi. Soovitatav on arhitektuursel projekteerimisel kasutada Päikeseenergia harta põhimõtteid.</w:t>
      </w:r>
    </w:p>
    <w:p w:rsidR="008E2539" w:rsidRDefault="008E2539" w:rsidP="008E2539">
      <w:pPr>
        <w:jc w:val="both"/>
      </w:pPr>
      <w:r w:rsidRPr="00D6001B">
        <w:t xml:space="preserve">Arvestades päikesepaneelide disaini ja tehnilisi võimalusi, on päikesepaneelide ja -kollektorite paigaldamine </w:t>
      </w:r>
      <w:r w:rsidR="00A95522" w:rsidRPr="00D6001B">
        <w:t xml:space="preserve">tehniliselt </w:t>
      </w:r>
      <w:r w:rsidRPr="00D6001B">
        <w:t xml:space="preserve">võimalik peaaegu igas asukohas igale hoonele ja rajatisele. Efektiivsuse mõttes tuleb arvestada ilmakaarte, päikese kõrgusnurga ning keskkonna osas linnaehitusliku situatsiooniga. </w:t>
      </w:r>
      <w:r w:rsidR="003E472A" w:rsidRPr="00D6001B">
        <w:t xml:space="preserve"> </w:t>
      </w:r>
      <w:r w:rsidRPr="00D6001B">
        <w:t>Alade üldine sobivus on näidatud joonisel</w:t>
      </w:r>
      <w:r w:rsidR="005512DC" w:rsidRPr="00D6001B">
        <w:t xml:space="preserve"> 2</w:t>
      </w:r>
      <w:r w:rsidR="00A20F8C" w:rsidRPr="00D6001B">
        <w:t>.</w:t>
      </w:r>
    </w:p>
    <w:p w:rsidR="008E2539" w:rsidRPr="00D6001B" w:rsidRDefault="008E2539" w:rsidP="008E2539">
      <w:r w:rsidRPr="00D6001B">
        <w:t>Vanalinna muinsuskaitsealal ja selle kaitsevööndis; miljööväärtuslikel hoonestusaladel (piirkond 5) on päikesepaneelide kasutamine lubatud järgnevalt:</w:t>
      </w:r>
    </w:p>
    <w:p w:rsidR="005512DC" w:rsidRPr="00D6001B" w:rsidRDefault="008E2539" w:rsidP="005512DC">
      <w:pPr>
        <w:pStyle w:val="ListParagraph"/>
        <w:widowControl w:val="0"/>
        <w:numPr>
          <w:ilvl w:val="0"/>
          <w:numId w:val="17"/>
        </w:numPr>
        <w:autoSpaceDN w:val="0"/>
        <w:adjustRightInd w:val="0"/>
        <w:spacing w:after="200" w:line="276" w:lineRule="auto"/>
        <w:contextualSpacing w:val="0"/>
        <w:rPr>
          <w:sz w:val="22"/>
          <w:szCs w:val="22"/>
        </w:rPr>
      </w:pPr>
      <w:r w:rsidRPr="00D6001B">
        <w:rPr>
          <w:sz w:val="22"/>
          <w:szCs w:val="22"/>
        </w:rPr>
        <w:t>olemasolevate hoonete katustele ainult siis, kui need on katusega samas tasapinnas ega ole vaadeldavad tänavatasandilt avalikust ruumist, Toomemäelt, Jaani kiriku tornist ja Sadama asumist;</w:t>
      </w:r>
    </w:p>
    <w:p w:rsidR="005512DC" w:rsidRPr="00D6001B" w:rsidRDefault="008E2539" w:rsidP="005512DC">
      <w:pPr>
        <w:pStyle w:val="ListParagraph"/>
        <w:widowControl w:val="0"/>
        <w:numPr>
          <w:ilvl w:val="0"/>
          <w:numId w:val="17"/>
        </w:numPr>
        <w:autoSpaceDN w:val="0"/>
        <w:adjustRightInd w:val="0"/>
        <w:spacing w:after="200" w:line="276" w:lineRule="auto"/>
        <w:contextualSpacing w:val="0"/>
        <w:rPr>
          <w:sz w:val="22"/>
          <w:szCs w:val="22"/>
        </w:rPr>
      </w:pPr>
      <w:r w:rsidRPr="00D6001B">
        <w:rPr>
          <w:sz w:val="22"/>
          <w:szCs w:val="22"/>
        </w:rPr>
        <w:t>uushoonetele vanalinna muinsuskaitsealal ja miljööaladel nii katusele kui ka seintele kõrgetasemelise arhitektuurse terviklahenduse korral, mille projekti osana on koostatud arhitektuursed vaated ja lahendus on kooskõlastatud linnavalitsusega;</w:t>
      </w:r>
    </w:p>
    <w:p w:rsidR="008E2539" w:rsidRPr="00D6001B" w:rsidRDefault="008E2539" w:rsidP="005512DC">
      <w:pPr>
        <w:pStyle w:val="ListParagraph"/>
        <w:widowControl w:val="0"/>
        <w:numPr>
          <w:ilvl w:val="0"/>
          <w:numId w:val="17"/>
        </w:numPr>
        <w:autoSpaceDN w:val="0"/>
        <w:adjustRightInd w:val="0"/>
        <w:spacing w:after="200" w:line="276" w:lineRule="auto"/>
        <w:contextualSpacing w:val="0"/>
        <w:rPr>
          <w:sz w:val="22"/>
          <w:szCs w:val="22"/>
        </w:rPr>
      </w:pPr>
      <w:r w:rsidRPr="00D6001B">
        <w:rPr>
          <w:sz w:val="22"/>
          <w:szCs w:val="22"/>
        </w:rPr>
        <w:t>miljööalade hoovialadele ja ainult siis, kui miljööalade kaitse- ja kasutustingimused on täidetud ning lahendus on kooskõlastatud linnavalitsusega.</w:t>
      </w:r>
    </w:p>
    <w:p w:rsidR="008E2539" w:rsidRPr="00D6001B" w:rsidRDefault="008E2539" w:rsidP="008E2539">
      <w:pPr>
        <w:jc w:val="both"/>
      </w:pPr>
      <w:r w:rsidRPr="00D6001B">
        <w:t>Ehitis- ja ajaloomälestistele ei ole päikesepaneelide paigaldamine lubatud, kui kultuuriväärtuste teenistus ei ole otsustanud teisiti. Looduskaitsealadele (piirkond 8), pole päikesepaneelide paigaldamine lubatud.</w:t>
      </w:r>
    </w:p>
    <w:p w:rsidR="00A20F8C" w:rsidRPr="00D6001B" w:rsidRDefault="008E2539" w:rsidP="008E2539">
      <w:r w:rsidRPr="00D6001B">
        <w:t>Mujal linnas (piirkondades 1, 2, 3, 4, 6 ja 7</w:t>
      </w:r>
      <w:r w:rsidR="00793F81">
        <w:t>, vt ptk 8</w:t>
      </w:r>
      <w:r w:rsidR="00A20F8C" w:rsidRPr="00D6001B">
        <w:t xml:space="preserve"> </w:t>
      </w:r>
      <w:r w:rsidRPr="00D6001B">
        <w:t>) on päikesepaneelide kasutamine lubatud. Raudtee</w:t>
      </w:r>
      <w:r w:rsidR="00A20F8C" w:rsidRPr="00D6001B">
        <w:t xml:space="preserve"> kaitsevööndis (piirkond 7.a</w:t>
      </w:r>
      <w:r w:rsidRPr="00D6001B">
        <w:t xml:space="preserve">) vastavalt raudteeseadusele. </w:t>
      </w:r>
    </w:p>
    <w:p w:rsidR="008E2539" w:rsidRPr="00D6001B" w:rsidRDefault="008E2539" w:rsidP="008E2539">
      <w:r w:rsidRPr="00D6001B">
        <w:t>Kaugus teistest hoonetest ja objektidest pole piiratud, kui püstitatavad paneelid vastavad järgmistele nõuetele ja tingimustele:</w:t>
      </w:r>
    </w:p>
    <w:p w:rsidR="00A20F8C" w:rsidRPr="00D6001B" w:rsidRDefault="008E2539" w:rsidP="00A20F8C">
      <w:pPr>
        <w:pStyle w:val="ListParagraph"/>
        <w:widowControl w:val="0"/>
        <w:numPr>
          <w:ilvl w:val="0"/>
          <w:numId w:val="18"/>
        </w:numPr>
        <w:autoSpaceDN w:val="0"/>
        <w:adjustRightInd w:val="0"/>
        <w:spacing w:after="200" w:line="276" w:lineRule="auto"/>
        <w:contextualSpacing w:val="0"/>
        <w:rPr>
          <w:sz w:val="22"/>
          <w:szCs w:val="22"/>
        </w:rPr>
      </w:pPr>
      <w:r w:rsidRPr="00D6001B">
        <w:rPr>
          <w:sz w:val="22"/>
          <w:szCs w:val="22"/>
        </w:rPr>
        <w:t>Päikesepaneelid ei tekita kõrvalolevatele hoonetele valgusreostust (nt kõrvutiasetsevate erikõrguseliste hoonete puhul);</w:t>
      </w:r>
    </w:p>
    <w:p w:rsidR="00A20F8C" w:rsidRPr="00D6001B" w:rsidRDefault="008E2539" w:rsidP="00A20F8C">
      <w:pPr>
        <w:pStyle w:val="ListParagraph"/>
        <w:widowControl w:val="0"/>
        <w:numPr>
          <w:ilvl w:val="0"/>
          <w:numId w:val="18"/>
        </w:numPr>
        <w:autoSpaceDN w:val="0"/>
        <w:adjustRightInd w:val="0"/>
        <w:spacing w:after="200" w:line="276" w:lineRule="auto"/>
        <w:contextualSpacing w:val="0"/>
        <w:rPr>
          <w:sz w:val="22"/>
          <w:szCs w:val="22"/>
        </w:rPr>
      </w:pPr>
      <w:r w:rsidRPr="00D6001B">
        <w:rPr>
          <w:sz w:val="22"/>
          <w:szCs w:val="22"/>
        </w:rPr>
        <w:t>Päikesepaneelid ei kahjusta naaberhooneid, linnaruumis liiklejaid ja looduskeskkonda;</w:t>
      </w:r>
    </w:p>
    <w:p w:rsidR="008E2539" w:rsidRPr="00D6001B" w:rsidRDefault="008E2539" w:rsidP="00A20F8C">
      <w:pPr>
        <w:pStyle w:val="ListParagraph"/>
        <w:widowControl w:val="0"/>
        <w:numPr>
          <w:ilvl w:val="0"/>
          <w:numId w:val="18"/>
        </w:numPr>
        <w:autoSpaceDN w:val="0"/>
        <w:adjustRightInd w:val="0"/>
        <w:spacing w:after="200" w:line="276" w:lineRule="auto"/>
        <w:contextualSpacing w:val="0"/>
        <w:rPr>
          <w:sz w:val="22"/>
          <w:szCs w:val="22"/>
        </w:rPr>
      </w:pPr>
      <w:r w:rsidRPr="00D6001B">
        <w:rPr>
          <w:sz w:val="22"/>
          <w:szCs w:val="22"/>
        </w:rPr>
        <w:t>Päikesepaneelid ei häiri liiklust ja tänaval liiklejaid.</w:t>
      </w:r>
    </w:p>
    <w:p w:rsidR="008E2539" w:rsidRPr="00D6001B" w:rsidRDefault="008E2539" w:rsidP="008E2539">
      <w:pPr>
        <w:jc w:val="both"/>
      </w:pPr>
      <w:r w:rsidRPr="00D6001B">
        <w:t>Kogu linna ulatuses, ehk siis kõikides piirkondades, on paneelide kasutamine lubatud ja soovitatav rajatistel</w:t>
      </w:r>
      <w:r w:rsidR="00A20F8C" w:rsidRPr="00D6001B">
        <w:t xml:space="preserve"> </w:t>
      </w:r>
      <w:r w:rsidRPr="00D6001B">
        <w:t>(nt bussiootepaviljonid, varikatustega puhkepingid jmt) kui eelnimetatud nõuded ja tingimused on täidetud. Päikeseenergia tootmiseks spetsiaalselt püstitatavad rajatised avalikus linnaruumis peavad olema arhitektuurselt kõrgetasemelised ja võimalusel multifunktsionaalsed.</w:t>
      </w:r>
    </w:p>
    <w:p w:rsidR="008E2539" w:rsidRPr="001D75D5" w:rsidRDefault="008E2539" w:rsidP="00104725">
      <w:pPr>
        <w:pStyle w:val="Heading2"/>
        <w:numPr>
          <w:ilvl w:val="2"/>
          <w:numId w:val="30"/>
        </w:numPr>
      </w:pPr>
      <w:bookmarkStart w:id="18" w:name="_Toc375244154"/>
      <w:r w:rsidRPr="001D75D5">
        <w:lastRenderedPageBreak/>
        <w:t>Päikesepaneelide ja -kollektorite paigaldamise tingimused</w:t>
      </w:r>
      <w:bookmarkEnd w:id="18"/>
    </w:p>
    <w:p w:rsidR="008E2539" w:rsidRPr="00CE7598" w:rsidRDefault="008E2539" w:rsidP="008E2539">
      <w:pPr>
        <w:jc w:val="both"/>
      </w:pPr>
      <w:r w:rsidRPr="00CE7598">
        <w:t>Päikesepaneelide ja –kollektorite paigaldamise eeltingimused</w:t>
      </w:r>
    </w:p>
    <w:p w:rsidR="008E2539" w:rsidRPr="00CE7598" w:rsidRDefault="008E2539" w:rsidP="008E2539">
      <w:pPr>
        <w:jc w:val="both"/>
      </w:pPr>
      <w:r w:rsidRPr="00CE7598">
        <w:t>Koostada on tehniline kirjeldus, mis sisaldab:</w:t>
      </w:r>
    </w:p>
    <w:p w:rsidR="008E2539" w:rsidRPr="00CE7598" w:rsidRDefault="008E2539" w:rsidP="008E2539">
      <w:pPr>
        <w:pStyle w:val="ListParagraph"/>
        <w:numPr>
          <w:ilvl w:val="0"/>
          <w:numId w:val="19"/>
        </w:numPr>
        <w:spacing w:after="200" w:line="276" w:lineRule="auto"/>
        <w:rPr>
          <w:sz w:val="22"/>
          <w:szCs w:val="22"/>
        </w:rPr>
      </w:pPr>
      <w:r w:rsidRPr="00CE7598">
        <w:rPr>
          <w:sz w:val="22"/>
          <w:szCs w:val="22"/>
        </w:rPr>
        <w:t>Projekti eesmärki;</w:t>
      </w:r>
    </w:p>
    <w:p w:rsidR="008E2539" w:rsidRPr="00CE7598" w:rsidRDefault="008E2539" w:rsidP="008E2539">
      <w:pPr>
        <w:pStyle w:val="ListParagraph"/>
        <w:numPr>
          <w:ilvl w:val="0"/>
          <w:numId w:val="19"/>
        </w:numPr>
        <w:spacing w:after="200" w:line="276" w:lineRule="auto"/>
        <w:rPr>
          <w:sz w:val="22"/>
          <w:szCs w:val="22"/>
        </w:rPr>
      </w:pPr>
      <w:r w:rsidRPr="00CE7598">
        <w:rPr>
          <w:sz w:val="22"/>
          <w:szCs w:val="22"/>
        </w:rPr>
        <w:t>Päikeseressursi hinnangut ja planeeritud asukoha hindamist;</w:t>
      </w:r>
    </w:p>
    <w:p w:rsidR="008E2539" w:rsidRPr="00CE7598" w:rsidRDefault="008E2539" w:rsidP="008E2539">
      <w:pPr>
        <w:pStyle w:val="ListParagraph"/>
        <w:numPr>
          <w:ilvl w:val="0"/>
          <w:numId w:val="19"/>
        </w:numPr>
        <w:spacing w:after="200" w:line="276" w:lineRule="auto"/>
        <w:rPr>
          <w:sz w:val="22"/>
          <w:szCs w:val="22"/>
        </w:rPr>
      </w:pPr>
      <w:r w:rsidRPr="00CE7598">
        <w:rPr>
          <w:sz w:val="22"/>
          <w:szCs w:val="22"/>
        </w:rPr>
        <w:t>Riskianalüüsi, mõjude hinnangut ja nendele vastavat tehnoloogilist lahendust;</w:t>
      </w:r>
    </w:p>
    <w:p w:rsidR="008E2539" w:rsidRPr="00CE7598" w:rsidRDefault="008E2539" w:rsidP="008E2539">
      <w:pPr>
        <w:pStyle w:val="ListParagraph"/>
        <w:numPr>
          <w:ilvl w:val="0"/>
          <w:numId w:val="19"/>
        </w:numPr>
        <w:spacing w:after="200" w:line="276" w:lineRule="auto"/>
        <w:rPr>
          <w:sz w:val="22"/>
          <w:szCs w:val="22"/>
        </w:rPr>
      </w:pPr>
      <w:r w:rsidRPr="00CE7598">
        <w:rPr>
          <w:sz w:val="22"/>
          <w:szCs w:val="22"/>
        </w:rPr>
        <w:t>Majandusanalüüsi, sh planeeritavat energiatoodangut ja käidu ning hooldusega seotud kulusid;</w:t>
      </w:r>
    </w:p>
    <w:p w:rsidR="008E2539" w:rsidRPr="00CE7598" w:rsidRDefault="008E2539" w:rsidP="008E2539">
      <w:pPr>
        <w:pStyle w:val="ListParagraph"/>
        <w:numPr>
          <w:ilvl w:val="0"/>
          <w:numId w:val="19"/>
        </w:numPr>
        <w:spacing w:after="200" w:line="276" w:lineRule="auto"/>
        <w:rPr>
          <w:sz w:val="22"/>
          <w:szCs w:val="22"/>
        </w:rPr>
      </w:pPr>
      <w:r w:rsidRPr="00CE7598">
        <w:rPr>
          <w:sz w:val="22"/>
          <w:szCs w:val="22"/>
        </w:rPr>
        <w:t>Illustreerivat materjali;</w:t>
      </w:r>
    </w:p>
    <w:p w:rsidR="008E2539" w:rsidRPr="00CE7598" w:rsidRDefault="008E2539" w:rsidP="008E2539">
      <w:pPr>
        <w:pStyle w:val="ListParagraph"/>
        <w:numPr>
          <w:ilvl w:val="0"/>
          <w:numId w:val="19"/>
        </w:numPr>
        <w:spacing w:after="200" w:line="276" w:lineRule="auto"/>
        <w:rPr>
          <w:sz w:val="22"/>
          <w:szCs w:val="22"/>
        </w:rPr>
      </w:pPr>
      <w:r w:rsidRPr="00CE7598">
        <w:rPr>
          <w:sz w:val="22"/>
          <w:szCs w:val="22"/>
        </w:rPr>
        <w:t>Toote infot.</w:t>
      </w:r>
    </w:p>
    <w:p w:rsidR="008E2539" w:rsidRPr="00CE7598" w:rsidRDefault="008E2539" w:rsidP="008E2539">
      <w:pPr>
        <w:jc w:val="both"/>
      </w:pPr>
      <w:r w:rsidRPr="00CE7598">
        <w:t>Tehnilise eskiisi alusel saab linnavalitsus:</w:t>
      </w:r>
    </w:p>
    <w:p w:rsidR="008E2539" w:rsidRPr="00CE7598" w:rsidRDefault="008E2539" w:rsidP="008E2539">
      <w:pPr>
        <w:pStyle w:val="ListParagraph"/>
        <w:numPr>
          <w:ilvl w:val="0"/>
          <w:numId w:val="20"/>
        </w:numPr>
        <w:spacing w:after="200" w:line="276" w:lineRule="auto"/>
        <w:rPr>
          <w:sz w:val="22"/>
          <w:szCs w:val="22"/>
        </w:rPr>
      </w:pPr>
      <w:r w:rsidRPr="00CE7598">
        <w:rPr>
          <w:sz w:val="22"/>
          <w:szCs w:val="22"/>
        </w:rPr>
        <w:t>anda põhimõttelise nõusoleku linnaruumi sobivuse aspektist;</w:t>
      </w:r>
    </w:p>
    <w:p w:rsidR="008E2539" w:rsidRPr="00CE7598" w:rsidRDefault="008E2539" w:rsidP="008E2539">
      <w:pPr>
        <w:pStyle w:val="ListParagraph"/>
        <w:numPr>
          <w:ilvl w:val="0"/>
          <w:numId w:val="20"/>
        </w:numPr>
        <w:spacing w:after="200" w:line="276" w:lineRule="auto"/>
        <w:rPr>
          <w:sz w:val="22"/>
          <w:szCs w:val="22"/>
        </w:rPr>
      </w:pPr>
      <w:r w:rsidRPr="00CE7598">
        <w:rPr>
          <w:sz w:val="22"/>
          <w:szCs w:val="22"/>
        </w:rPr>
        <w:t>anda hinnangu tehnilise ja arhitektuurse lahenduse sobivuse kohta;</w:t>
      </w:r>
    </w:p>
    <w:p w:rsidR="008E2539" w:rsidRPr="00CE7598" w:rsidRDefault="008E2539" w:rsidP="008E2539">
      <w:pPr>
        <w:pStyle w:val="ListParagraph"/>
        <w:numPr>
          <w:ilvl w:val="0"/>
          <w:numId w:val="20"/>
        </w:numPr>
        <w:spacing w:after="200" w:line="276" w:lineRule="auto"/>
        <w:rPr>
          <w:sz w:val="22"/>
          <w:szCs w:val="22"/>
        </w:rPr>
      </w:pPr>
      <w:r w:rsidRPr="00CE7598">
        <w:rPr>
          <w:sz w:val="22"/>
          <w:szCs w:val="22"/>
        </w:rPr>
        <w:t>määrata projekti kooskõlastamise vajaduse naaberkinnistute omanikega ja/või asjakohaste ametitega.</w:t>
      </w:r>
    </w:p>
    <w:p w:rsidR="008E2539" w:rsidRPr="00CE7598" w:rsidRDefault="008E2539" w:rsidP="008E2539">
      <w:pPr>
        <w:jc w:val="both"/>
      </w:pPr>
      <w:r w:rsidRPr="00CE7598">
        <w:t>Linnavalitsusel on õigus nõuda lisaks täiendavaid materjale või lükata tehniline kirjeldus tagasi. Tehnilise kirjelduse sobivusel väljastatakse taotlejale projekteerimistingimused, milles täpsustatakse projekti maht, lisategevused ja objekti lubatud parameetrid.</w:t>
      </w:r>
    </w:p>
    <w:p w:rsidR="008E2539" w:rsidRPr="00CE7598" w:rsidRDefault="008E2539" w:rsidP="008E2539">
      <w:pPr>
        <w:jc w:val="both"/>
      </w:pPr>
      <w:r w:rsidRPr="00CE7598">
        <w:t>Projekteerimistingimuste alusel koostatakse ehitusprojekt, mis olenevalt objektist ja selle asukohast sisaldab vähemalt järgmist infot:</w:t>
      </w:r>
    </w:p>
    <w:p w:rsidR="008E2539" w:rsidRPr="00CE7598" w:rsidRDefault="008E2539" w:rsidP="008E2539">
      <w:pPr>
        <w:pStyle w:val="ListParagraph"/>
        <w:numPr>
          <w:ilvl w:val="0"/>
          <w:numId w:val="21"/>
        </w:numPr>
        <w:spacing w:after="200" w:line="276" w:lineRule="auto"/>
        <w:rPr>
          <w:sz w:val="22"/>
          <w:szCs w:val="22"/>
        </w:rPr>
      </w:pPr>
      <w:r w:rsidRPr="00CE7598">
        <w:rPr>
          <w:sz w:val="22"/>
          <w:szCs w:val="22"/>
        </w:rPr>
        <w:t>tehniline osa;</w:t>
      </w:r>
    </w:p>
    <w:p w:rsidR="008E2539" w:rsidRPr="00CE7598" w:rsidRDefault="008E2539" w:rsidP="008E2539">
      <w:pPr>
        <w:pStyle w:val="ListParagraph"/>
        <w:numPr>
          <w:ilvl w:val="0"/>
          <w:numId w:val="21"/>
        </w:numPr>
        <w:spacing w:after="200" w:line="276" w:lineRule="auto"/>
        <w:rPr>
          <w:sz w:val="22"/>
          <w:szCs w:val="22"/>
        </w:rPr>
      </w:pPr>
      <w:r w:rsidRPr="00CE7598">
        <w:rPr>
          <w:sz w:val="22"/>
          <w:szCs w:val="22"/>
        </w:rPr>
        <w:t>arhitektuurne osa, sh vaated ja muu illustreeriv materjal;</w:t>
      </w:r>
    </w:p>
    <w:p w:rsidR="008E2539" w:rsidRPr="00CE7598" w:rsidRDefault="008E2539" w:rsidP="008E2539">
      <w:pPr>
        <w:pStyle w:val="ListParagraph"/>
        <w:numPr>
          <w:ilvl w:val="0"/>
          <w:numId w:val="21"/>
        </w:numPr>
        <w:spacing w:after="200" w:line="276" w:lineRule="auto"/>
        <w:rPr>
          <w:sz w:val="22"/>
          <w:szCs w:val="22"/>
        </w:rPr>
      </w:pPr>
      <w:r w:rsidRPr="00CE7598">
        <w:rPr>
          <w:sz w:val="22"/>
          <w:szCs w:val="22"/>
        </w:rPr>
        <w:t>tasuvusanalüüs;</w:t>
      </w:r>
    </w:p>
    <w:p w:rsidR="008E2539" w:rsidRPr="00CE7598" w:rsidRDefault="008E2539" w:rsidP="008E2539">
      <w:pPr>
        <w:pStyle w:val="ListParagraph"/>
        <w:numPr>
          <w:ilvl w:val="0"/>
          <w:numId w:val="21"/>
        </w:numPr>
        <w:spacing w:after="200" w:line="276" w:lineRule="auto"/>
        <w:rPr>
          <w:sz w:val="22"/>
          <w:szCs w:val="22"/>
        </w:rPr>
      </w:pPr>
      <w:r w:rsidRPr="00CE7598">
        <w:rPr>
          <w:sz w:val="22"/>
          <w:szCs w:val="22"/>
        </w:rPr>
        <w:t>riskide hindamine;</w:t>
      </w:r>
    </w:p>
    <w:p w:rsidR="008E2539" w:rsidRPr="00CE7598" w:rsidRDefault="008E2539" w:rsidP="008E2539">
      <w:pPr>
        <w:pStyle w:val="ListParagraph"/>
        <w:numPr>
          <w:ilvl w:val="0"/>
          <w:numId w:val="21"/>
        </w:numPr>
        <w:spacing w:after="200" w:line="276" w:lineRule="auto"/>
        <w:rPr>
          <w:sz w:val="22"/>
          <w:szCs w:val="22"/>
        </w:rPr>
      </w:pPr>
      <w:r w:rsidRPr="00CE7598">
        <w:rPr>
          <w:sz w:val="22"/>
          <w:szCs w:val="22"/>
        </w:rPr>
        <w:t>valgusreostuse hindamine;</w:t>
      </w:r>
    </w:p>
    <w:p w:rsidR="008E2539" w:rsidRPr="00CE7598" w:rsidRDefault="008E2539" w:rsidP="008E2539">
      <w:pPr>
        <w:pStyle w:val="ListParagraph"/>
        <w:numPr>
          <w:ilvl w:val="0"/>
          <w:numId w:val="21"/>
        </w:numPr>
        <w:spacing w:after="200" w:line="276" w:lineRule="auto"/>
        <w:rPr>
          <w:sz w:val="22"/>
          <w:szCs w:val="22"/>
        </w:rPr>
      </w:pPr>
      <w:r w:rsidRPr="00CE7598">
        <w:rPr>
          <w:sz w:val="22"/>
          <w:szCs w:val="22"/>
        </w:rPr>
        <w:t>hooldusjuhend ja soovitused paigaldamiseks.</w:t>
      </w:r>
    </w:p>
    <w:p w:rsidR="00CA54D6" w:rsidRPr="00CE7598" w:rsidRDefault="00CA54D6" w:rsidP="00CA54D6">
      <w:r w:rsidRPr="00CE7598">
        <w:t>Elektrivõrku tootmise soovi korral tuleb projekteerida ja ehitada vastavalt elektriettevõtte tehnilistele tingimustele</w:t>
      </w:r>
    </w:p>
    <w:p w:rsidR="00BF6B9E" w:rsidRPr="00CE0E94" w:rsidRDefault="00CA54D6" w:rsidP="00104725">
      <w:pPr>
        <w:pStyle w:val="Heading1"/>
        <w:numPr>
          <w:ilvl w:val="1"/>
          <w:numId w:val="30"/>
        </w:numPr>
      </w:pPr>
      <w:r w:rsidRPr="00CE0E94">
        <w:t>T</w:t>
      </w:r>
      <w:r w:rsidR="00BF6B9E" w:rsidRPr="00CE0E94">
        <w:t>uuleenergia</w:t>
      </w:r>
    </w:p>
    <w:p w:rsidR="008E2539" w:rsidRPr="00CE0E94" w:rsidRDefault="00793F81" w:rsidP="008E2539">
      <w:pPr>
        <w:jc w:val="both"/>
      </w:pPr>
      <w:r>
        <w:t>Maastikku arvestades (joonis 2</w:t>
      </w:r>
      <w:r w:rsidR="008E2539" w:rsidRPr="00CE0E94">
        <w:t>) on tuuleenergia kasutamiseks paremad eeldused Tartu äärteosas, eriti edelaosas. Lubatud aladel (alade sobivus on graafiliselt näidatud joonisel</w:t>
      </w:r>
      <w:r w:rsidR="00C03F6E" w:rsidRPr="00CE0E94">
        <w:t xml:space="preserve"> 2</w:t>
      </w:r>
      <w:r w:rsidR="008E2539" w:rsidRPr="00CE0E94">
        <w:t xml:space="preserve">) peab siiski arvestama peatükis </w:t>
      </w:r>
      <w:r w:rsidR="003E472A">
        <w:t>11.1., 11</w:t>
      </w:r>
      <w:r w:rsidR="00C03F6E" w:rsidRPr="00CE0E94">
        <w:t>.2.</w:t>
      </w:r>
      <w:r w:rsidR="008E2539" w:rsidRPr="00CE0E94">
        <w:t xml:space="preserve"> toodud tuuliku püstitamise tingimustega. Piirkonnas 5 ehk vanalinna muinsuskaitsealal, selle kaitsevööndis,  </w:t>
      </w:r>
      <w:r w:rsidR="003A1052" w:rsidRPr="00CE0E94">
        <w:t>kinnismälestistel</w:t>
      </w:r>
      <w:r w:rsidR="008E2539" w:rsidRPr="00CE0E94">
        <w:t xml:space="preserve"> ja nende kaitsevööndis ning miljööväärtuslikel aladel on tuulegeneraatorite püstitamine keelatud. Samuti on see keelatud looduskaitsealal (8. piirkond).</w:t>
      </w:r>
    </w:p>
    <w:p w:rsidR="008E2539" w:rsidRPr="00CE0E94" w:rsidRDefault="00104725" w:rsidP="008E2539">
      <w:pPr>
        <w:jc w:val="both"/>
      </w:pPr>
      <w:r>
        <w:t>T</w:t>
      </w:r>
      <w:r w:rsidR="008E2539" w:rsidRPr="00CE0E94">
        <w:t>uulegeneraatorite kavandamisel tuleb arvestada, et need ei tohi kahjustada vaateid kaitsealustele piirkondadele ja objektidele.</w:t>
      </w:r>
    </w:p>
    <w:p w:rsidR="00104725" w:rsidRPr="001D75D5" w:rsidRDefault="00C03F6E" w:rsidP="00104725">
      <w:pPr>
        <w:pStyle w:val="Heading3"/>
        <w:keepNext w:val="0"/>
        <w:keepLines w:val="0"/>
        <w:numPr>
          <w:ilvl w:val="2"/>
          <w:numId w:val="30"/>
        </w:numPr>
        <w:spacing w:line="271" w:lineRule="auto"/>
        <w:rPr>
          <w:sz w:val="26"/>
          <w:szCs w:val="26"/>
        </w:rPr>
      </w:pPr>
      <w:r w:rsidRPr="001D75D5">
        <w:rPr>
          <w:sz w:val="26"/>
          <w:szCs w:val="26"/>
        </w:rPr>
        <w:lastRenderedPageBreak/>
        <w:t>Tuulegenera</w:t>
      </w:r>
      <w:r w:rsidR="00043132" w:rsidRPr="001D75D5">
        <w:rPr>
          <w:sz w:val="26"/>
          <w:szCs w:val="26"/>
        </w:rPr>
        <w:t>atorite</w:t>
      </w:r>
      <w:r w:rsidRPr="001D75D5">
        <w:rPr>
          <w:sz w:val="26"/>
          <w:szCs w:val="26"/>
        </w:rPr>
        <w:t xml:space="preserve"> paigaldamise tingimused</w:t>
      </w:r>
    </w:p>
    <w:p w:rsidR="00C03F6E" w:rsidRPr="00104725" w:rsidRDefault="00104725" w:rsidP="00104725">
      <w:pPr>
        <w:pStyle w:val="Heading3"/>
        <w:keepNext w:val="0"/>
        <w:keepLines w:val="0"/>
        <w:numPr>
          <w:ilvl w:val="0"/>
          <w:numId w:val="0"/>
        </w:numPr>
        <w:spacing w:line="271" w:lineRule="auto"/>
        <w:ind w:left="720" w:hanging="720"/>
        <w:rPr>
          <w:b w:val="0"/>
          <w:color w:val="auto"/>
        </w:rPr>
      </w:pPr>
      <w:r>
        <w:rPr>
          <w:b w:val="0"/>
          <w:color w:val="auto"/>
        </w:rPr>
        <w:t>Tuulegeneraatori paigaldamise soovi korral tuleb esmalt k</w:t>
      </w:r>
      <w:r w:rsidR="00C03F6E" w:rsidRPr="00104725">
        <w:rPr>
          <w:b w:val="0"/>
          <w:color w:val="auto"/>
        </w:rPr>
        <w:t>oostada tehniline kirjeldus, mis kajastab:</w:t>
      </w:r>
    </w:p>
    <w:p w:rsidR="008E2539" w:rsidRPr="00CE7598" w:rsidRDefault="008E2539" w:rsidP="008E2539">
      <w:pPr>
        <w:pStyle w:val="ListParagraph"/>
        <w:numPr>
          <w:ilvl w:val="0"/>
          <w:numId w:val="13"/>
        </w:numPr>
        <w:spacing w:after="200" w:line="276" w:lineRule="auto"/>
        <w:rPr>
          <w:sz w:val="22"/>
          <w:szCs w:val="22"/>
        </w:rPr>
      </w:pPr>
      <w:r w:rsidRPr="00CE7598">
        <w:rPr>
          <w:sz w:val="22"/>
          <w:szCs w:val="22"/>
        </w:rPr>
        <w:t xml:space="preserve">Soovitud asukoht jääb maastikuliselt sobivale </w:t>
      </w:r>
      <w:r w:rsidR="00C03F6E" w:rsidRPr="00CE7598">
        <w:rPr>
          <w:sz w:val="22"/>
          <w:szCs w:val="22"/>
        </w:rPr>
        <w:t xml:space="preserve">ja lubatud alale (joonis </w:t>
      </w:r>
      <w:r w:rsidRPr="00CE7598">
        <w:rPr>
          <w:sz w:val="22"/>
          <w:szCs w:val="22"/>
        </w:rPr>
        <w:t>2);</w:t>
      </w:r>
    </w:p>
    <w:p w:rsidR="008E2539" w:rsidRPr="00CE7598" w:rsidRDefault="008E2539" w:rsidP="008E2539">
      <w:pPr>
        <w:pStyle w:val="ListParagraph"/>
        <w:numPr>
          <w:ilvl w:val="0"/>
          <w:numId w:val="13"/>
        </w:numPr>
        <w:spacing w:after="200" w:line="276" w:lineRule="auto"/>
        <w:rPr>
          <w:sz w:val="22"/>
          <w:szCs w:val="22"/>
        </w:rPr>
      </w:pPr>
      <w:r w:rsidRPr="00CE7598">
        <w:rPr>
          <w:sz w:val="22"/>
          <w:szCs w:val="22"/>
        </w:rPr>
        <w:t>Koostatud on tehniline kirjeldus, mis sisaldab vähemalt:</w:t>
      </w:r>
    </w:p>
    <w:p w:rsidR="008E2539" w:rsidRPr="00CE7598" w:rsidRDefault="008E2539" w:rsidP="008E2539">
      <w:pPr>
        <w:pStyle w:val="ListParagraph"/>
        <w:numPr>
          <w:ilvl w:val="1"/>
          <w:numId w:val="13"/>
        </w:numPr>
        <w:spacing w:after="200" w:line="276" w:lineRule="auto"/>
        <w:rPr>
          <w:sz w:val="22"/>
          <w:szCs w:val="22"/>
        </w:rPr>
      </w:pPr>
      <w:r w:rsidRPr="00CE7598">
        <w:rPr>
          <w:sz w:val="22"/>
          <w:szCs w:val="22"/>
        </w:rPr>
        <w:t>Projekti eesmärki ja ülevaadet;</w:t>
      </w:r>
    </w:p>
    <w:p w:rsidR="008E2539" w:rsidRPr="00CE7598" w:rsidRDefault="008E2539" w:rsidP="008E2539">
      <w:pPr>
        <w:pStyle w:val="ListParagraph"/>
        <w:numPr>
          <w:ilvl w:val="1"/>
          <w:numId w:val="13"/>
        </w:numPr>
        <w:spacing w:after="200" w:line="276" w:lineRule="auto"/>
        <w:rPr>
          <w:sz w:val="22"/>
          <w:szCs w:val="22"/>
        </w:rPr>
      </w:pPr>
      <w:r w:rsidRPr="00CE7598">
        <w:rPr>
          <w:sz w:val="22"/>
          <w:szCs w:val="22"/>
        </w:rPr>
        <w:t>Tuuleressursi hinnangut ja planeeritud asukoha hindamist;</w:t>
      </w:r>
    </w:p>
    <w:p w:rsidR="008E2539" w:rsidRPr="00104725" w:rsidRDefault="008E2539" w:rsidP="00104725">
      <w:pPr>
        <w:pStyle w:val="ListParagraph"/>
        <w:numPr>
          <w:ilvl w:val="0"/>
          <w:numId w:val="14"/>
        </w:numPr>
        <w:spacing w:after="200" w:line="276" w:lineRule="auto"/>
        <w:rPr>
          <w:sz w:val="22"/>
          <w:szCs w:val="22"/>
        </w:rPr>
      </w:pPr>
      <w:r w:rsidRPr="00CE7598">
        <w:rPr>
          <w:sz w:val="22"/>
          <w:szCs w:val="22"/>
        </w:rPr>
        <w:t xml:space="preserve">Riskianalüüsi, mõjude hinnangut ja nendele vastavat tehnoloogilist </w:t>
      </w:r>
      <w:proofErr w:type="spellStart"/>
      <w:r w:rsidRPr="00CE7598">
        <w:rPr>
          <w:sz w:val="22"/>
          <w:szCs w:val="22"/>
        </w:rPr>
        <w:t>lahendust</w:t>
      </w:r>
      <w:r w:rsidR="00104725">
        <w:rPr>
          <w:sz w:val="22"/>
          <w:szCs w:val="22"/>
        </w:rPr>
        <w:t>((</w:t>
      </w:r>
      <w:r w:rsidR="00104725" w:rsidRPr="00CE7598">
        <w:rPr>
          <w:sz w:val="22"/>
          <w:szCs w:val="22"/>
        </w:rPr>
        <w:t>Nõuda</w:t>
      </w:r>
      <w:proofErr w:type="spellEnd"/>
      <w:r w:rsidR="00104725" w:rsidRPr="00CE7598">
        <w:rPr>
          <w:sz w:val="22"/>
          <w:szCs w:val="22"/>
        </w:rPr>
        <w:t xml:space="preserve"> uuringu ja analüüsi koostamist kuja ulatuse määramiseks, et selgitada välja kujasse jäävate kinnistute omanikud, keda tuulikute püstitamine otseselt mõjutab ning kellega on vaja projekt kooskõlastada. Ku</w:t>
      </w:r>
      <w:r w:rsidR="00104725">
        <w:rPr>
          <w:sz w:val="22"/>
          <w:szCs w:val="22"/>
        </w:rPr>
        <w:t xml:space="preserve">ja moodustub jääohutustsoonist, </w:t>
      </w:r>
      <w:r w:rsidR="00104725" w:rsidRPr="00CE7598">
        <w:rPr>
          <w:sz w:val="22"/>
          <w:szCs w:val="22"/>
        </w:rPr>
        <w:t>mis on vähemalt pool</w:t>
      </w:r>
      <w:r w:rsidR="00104725">
        <w:rPr>
          <w:sz w:val="22"/>
          <w:szCs w:val="22"/>
        </w:rPr>
        <w:t>eteistkordne tuuliku kogupikkus</w:t>
      </w:r>
      <w:r w:rsidR="00104725" w:rsidRPr="00CE7598">
        <w:rPr>
          <w:sz w:val="22"/>
          <w:szCs w:val="22"/>
        </w:rPr>
        <w:t>, müra tsoonist ja vilkumise nähtavustsoonist</w:t>
      </w:r>
      <w:r w:rsidR="00104725">
        <w:rPr>
          <w:sz w:val="22"/>
          <w:szCs w:val="22"/>
        </w:rPr>
        <w:t>)</w:t>
      </w:r>
      <w:r w:rsidRPr="00104725">
        <w:rPr>
          <w:sz w:val="22"/>
          <w:szCs w:val="22"/>
        </w:rPr>
        <w:t>;</w:t>
      </w:r>
    </w:p>
    <w:p w:rsidR="008E2539" w:rsidRPr="00CE7598" w:rsidRDefault="008E2539" w:rsidP="008E2539">
      <w:pPr>
        <w:pStyle w:val="ListParagraph"/>
        <w:numPr>
          <w:ilvl w:val="1"/>
          <w:numId w:val="13"/>
        </w:numPr>
        <w:spacing w:after="200" w:line="276" w:lineRule="auto"/>
        <w:rPr>
          <w:sz w:val="22"/>
          <w:szCs w:val="22"/>
        </w:rPr>
      </w:pPr>
      <w:r w:rsidRPr="00CE7598">
        <w:rPr>
          <w:sz w:val="22"/>
          <w:szCs w:val="22"/>
        </w:rPr>
        <w:t>Majandusanalüüsi, sh planeeritavat energiatoodangut ja käidu ning hooldusega seotud kulusid;</w:t>
      </w:r>
    </w:p>
    <w:p w:rsidR="008E2539" w:rsidRPr="00CE7598" w:rsidRDefault="008E2539" w:rsidP="008E2539">
      <w:pPr>
        <w:pStyle w:val="ListParagraph"/>
        <w:numPr>
          <w:ilvl w:val="1"/>
          <w:numId w:val="13"/>
        </w:numPr>
        <w:spacing w:after="200" w:line="276" w:lineRule="auto"/>
        <w:rPr>
          <w:sz w:val="22"/>
          <w:szCs w:val="22"/>
        </w:rPr>
      </w:pPr>
      <w:r w:rsidRPr="00CE7598">
        <w:rPr>
          <w:sz w:val="22"/>
          <w:szCs w:val="22"/>
        </w:rPr>
        <w:t>Illustreerivat materjali;</w:t>
      </w:r>
    </w:p>
    <w:p w:rsidR="008E2539" w:rsidRPr="00CE7598" w:rsidRDefault="008E2539" w:rsidP="008E2539">
      <w:pPr>
        <w:pStyle w:val="ListParagraph"/>
        <w:numPr>
          <w:ilvl w:val="1"/>
          <w:numId w:val="13"/>
        </w:numPr>
        <w:spacing w:after="200" w:line="276" w:lineRule="auto"/>
        <w:rPr>
          <w:sz w:val="22"/>
          <w:szCs w:val="22"/>
        </w:rPr>
      </w:pPr>
      <w:r w:rsidRPr="00CE7598">
        <w:rPr>
          <w:sz w:val="22"/>
          <w:szCs w:val="22"/>
        </w:rPr>
        <w:t>Toote infot</w:t>
      </w:r>
      <w:r w:rsidR="005C6830">
        <w:rPr>
          <w:sz w:val="22"/>
          <w:szCs w:val="22"/>
        </w:rPr>
        <w:t xml:space="preserve"> (sh. Infot seadmete poolt tekitatava müra kohta)</w:t>
      </w:r>
      <w:r w:rsidRPr="00CE7598">
        <w:rPr>
          <w:sz w:val="22"/>
          <w:szCs w:val="22"/>
        </w:rPr>
        <w:t>.</w:t>
      </w:r>
    </w:p>
    <w:p w:rsidR="008E2539" w:rsidRPr="00CE7598" w:rsidRDefault="008E2539" w:rsidP="008E2539">
      <w:pPr>
        <w:pStyle w:val="ListParagraph"/>
        <w:numPr>
          <w:ilvl w:val="0"/>
          <w:numId w:val="13"/>
        </w:numPr>
        <w:spacing w:after="200" w:line="276" w:lineRule="auto"/>
        <w:rPr>
          <w:sz w:val="22"/>
          <w:szCs w:val="22"/>
        </w:rPr>
      </w:pPr>
      <w:r w:rsidRPr="00CE7598">
        <w:rPr>
          <w:sz w:val="22"/>
          <w:szCs w:val="22"/>
        </w:rPr>
        <w:t xml:space="preserve">Nõuetekohaselt koostatud ehitusprojekt ja taotletud ehitusluba. </w:t>
      </w:r>
    </w:p>
    <w:p w:rsidR="008E2539" w:rsidRPr="00CE7598" w:rsidRDefault="008E2539" w:rsidP="008E2539">
      <w:pPr>
        <w:jc w:val="both"/>
      </w:pPr>
      <w:r w:rsidRPr="00CE7598">
        <w:t>Tehnilise kirjelduse alusel saab linnavalitsus:</w:t>
      </w:r>
    </w:p>
    <w:p w:rsidR="008E2539" w:rsidRPr="00CE7598" w:rsidRDefault="008E2539" w:rsidP="008E2539">
      <w:pPr>
        <w:pStyle w:val="ListParagraph"/>
        <w:numPr>
          <w:ilvl w:val="0"/>
          <w:numId w:val="14"/>
        </w:numPr>
        <w:spacing w:after="200" w:line="276" w:lineRule="auto"/>
        <w:rPr>
          <w:sz w:val="22"/>
          <w:szCs w:val="22"/>
        </w:rPr>
      </w:pPr>
      <w:r w:rsidRPr="00CE7598">
        <w:rPr>
          <w:sz w:val="22"/>
          <w:szCs w:val="22"/>
        </w:rPr>
        <w:t>Anda põhimõttelise nõusoleku linnaruumi sobivuse aspektist;</w:t>
      </w:r>
    </w:p>
    <w:p w:rsidR="008E2539" w:rsidRDefault="008E2539" w:rsidP="008E2539">
      <w:pPr>
        <w:pStyle w:val="ListParagraph"/>
        <w:numPr>
          <w:ilvl w:val="0"/>
          <w:numId w:val="14"/>
        </w:numPr>
        <w:spacing w:after="200" w:line="276" w:lineRule="auto"/>
        <w:rPr>
          <w:sz w:val="22"/>
          <w:szCs w:val="22"/>
        </w:rPr>
      </w:pPr>
      <w:r w:rsidRPr="00CE7598">
        <w:rPr>
          <w:sz w:val="22"/>
          <w:szCs w:val="22"/>
        </w:rPr>
        <w:t>Anda hinnangu tuuliku paiknemiskõrguse (masti ja labade kõrgus kokku) ja  kukkumiskauguse (ca 10% paiknemiskõrgusele lisaks) sobivuse kohta;</w:t>
      </w:r>
    </w:p>
    <w:p w:rsidR="00104725" w:rsidRPr="00CE7598" w:rsidRDefault="00104725" w:rsidP="008E2539">
      <w:pPr>
        <w:pStyle w:val="ListParagraph"/>
        <w:numPr>
          <w:ilvl w:val="0"/>
          <w:numId w:val="14"/>
        </w:numPr>
        <w:spacing w:after="200" w:line="276" w:lineRule="auto"/>
        <w:rPr>
          <w:sz w:val="22"/>
          <w:szCs w:val="22"/>
        </w:rPr>
      </w:pPr>
      <w:r>
        <w:rPr>
          <w:sz w:val="22"/>
          <w:szCs w:val="22"/>
        </w:rPr>
        <w:t>määrata</w:t>
      </w:r>
      <w:r w:rsidRPr="00CE7598">
        <w:rPr>
          <w:sz w:val="22"/>
          <w:szCs w:val="22"/>
        </w:rPr>
        <w:t xml:space="preserve"> täiendavate kooskõlastuste vajaduse asjakohaste ametitega</w:t>
      </w:r>
    </w:p>
    <w:p w:rsidR="008E2539" w:rsidRPr="00CE7598" w:rsidRDefault="008E2539" w:rsidP="008E2539">
      <w:pPr>
        <w:jc w:val="both"/>
      </w:pPr>
      <w:r w:rsidRPr="00CE7598">
        <w:t>Linnavalitsusel on õigus nõuda lisaks täiendavaid materjale rajatava tuuliku mõjude eelhindamiseks.  Avalikku huvi, elukvaliteeti ja/või looduslikku mitmekesisust kahjustavate arenduste takistamiseks on linnavalitsusel õigus tehniline kirjeldus tagasi lükata. Tehnilise kirjelduse sobivusel  väljastatakse taotlejale projekteerimistingimused, milles täpsustatakse projekti maht, lisategevused ja objekti lubatud parameetrid.</w:t>
      </w:r>
    </w:p>
    <w:p w:rsidR="008E2539" w:rsidRPr="00CE7598" w:rsidRDefault="008E2539" w:rsidP="008E2539">
      <w:pPr>
        <w:jc w:val="both"/>
      </w:pPr>
      <w:r w:rsidRPr="00CE7598">
        <w:t>Projekteerimistingimuste alusel koostatakse ehitusprojekt, mis olenevalt objektist ja selle asukohast sisaldab vähemalt järgmist infot:</w:t>
      </w:r>
    </w:p>
    <w:p w:rsidR="008E2539" w:rsidRPr="00CE7598" w:rsidRDefault="008E2539" w:rsidP="008E2539">
      <w:pPr>
        <w:pStyle w:val="ListParagraph"/>
        <w:numPr>
          <w:ilvl w:val="0"/>
          <w:numId w:val="15"/>
        </w:numPr>
        <w:spacing w:after="200" w:line="276" w:lineRule="auto"/>
        <w:rPr>
          <w:sz w:val="22"/>
          <w:szCs w:val="22"/>
        </w:rPr>
      </w:pPr>
      <w:r w:rsidRPr="00CE7598">
        <w:rPr>
          <w:sz w:val="22"/>
          <w:szCs w:val="22"/>
        </w:rPr>
        <w:t>Tehniline osa;</w:t>
      </w:r>
    </w:p>
    <w:p w:rsidR="008E2539" w:rsidRPr="00CE7598" w:rsidRDefault="008E2539" w:rsidP="008E2539">
      <w:pPr>
        <w:pStyle w:val="ListParagraph"/>
        <w:numPr>
          <w:ilvl w:val="0"/>
          <w:numId w:val="15"/>
        </w:numPr>
        <w:spacing w:after="200" w:line="276" w:lineRule="auto"/>
        <w:rPr>
          <w:sz w:val="22"/>
          <w:szCs w:val="22"/>
        </w:rPr>
      </w:pPr>
      <w:r w:rsidRPr="00CE7598">
        <w:rPr>
          <w:sz w:val="22"/>
          <w:szCs w:val="22"/>
        </w:rPr>
        <w:t>Arhitektuurne osa, sh vaated ja muu illustreeriv materjal;</w:t>
      </w:r>
    </w:p>
    <w:p w:rsidR="008E2539" w:rsidRPr="00CE7598" w:rsidRDefault="008E2539" w:rsidP="008E2539">
      <w:pPr>
        <w:pStyle w:val="ListParagraph"/>
        <w:numPr>
          <w:ilvl w:val="0"/>
          <w:numId w:val="15"/>
        </w:numPr>
        <w:spacing w:after="200" w:line="276" w:lineRule="auto"/>
        <w:rPr>
          <w:sz w:val="22"/>
          <w:szCs w:val="22"/>
        </w:rPr>
      </w:pPr>
      <w:r w:rsidRPr="00CE7598">
        <w:rPr>
          <w:sz w:val="22"/>
          <w:szCs w:val="22"/>
        </w:rPr>
        <w:t>Tasuvusanalüüs;</w:t>
      </w:r>
    </w:p>
    <w:p w:rsidR="008E2539" w:rsidRPr="00CE7598" w:rsidRDefault="008E2539" w:rsidP="008E2539">
      <w:pPr>
        <w:pStyle w:val="ListParagraph"/>
        <w:numPr>
          <w:ilvl w:val="0"/>
          <w:numId w:val="15"/>
        </w:numPr>
        <w:spacing w:after="200" w:line="276" w:lineRule="auto"/>
        <w:rPr>
          <w:sz w:val="22"/>
          <w:szCs w:val="22"/>
        </w:rPr>
      </w:pPr>
      <w:r w:rsidRPr="00CE7598">
        <w:rPr>
          <w:sz w:val="22"/>
          <w:szCs w:val="22"/>
        </w:rPr>
        <w:t>Müra hindamine;</w:t>
      </w:r>
    </w:p>
    <w:p w:rsidR="008E2539" w:rsidRPr="00CE7598" w:rsidRDefault="008E2539" w:rsidP="008E2539">
      <w:pPr>
        <w:pStyle w:val="ListParagraph"/>
        <w:numPr>
          <w:ilvl w:val="0"/>
          <w:numId w:val="15"/>
        </w:numPr>
        <w:spacing w:after="200" w:line="276" w:lineRule="auto"/>
        <w:rPr>
          <w:sz w:val="22"/>
          <w:szCs w:val="22"/>
        </w:rPr>
      </w:pPr>
      <w:r w:rsidRPr="00CE7598">
        <w:rPr>
          <w:sz w:val="22"/>
          <w:szCs w:val="22"/>
        </w:rPr>
        <w:t>Riskide hindamine;</w:t>
      </w:r>
    </w:p>
    <w:p w:rsidR="008E2539" w:rsidRPr="00CE7598" w:rsidRDefault="008E2539" w:rsidP="008E2539">
      <w:pPr>
        <w:pStyle w:val="ListParagraph"/>
        <w:numPr>
          <w:ilvl w:val="0"/>
          <w:numId w:val="15"/>
        </w:numPr>
        <w:spacing w:after="200" w:line="276" w:lineRule="auto"/>
        <w:rPr>
          <w:sz w:val="22"/>
          <w:szCs w:val="22"/>
        </w:rPr>
      </w:pPr>
      <w:r w:rsidRPr="00CE7598">
        <w:rPr>
          <w:sz w:val="22"/>
          <w:szCs w:val="22"/>
        </w:rPr>
        <w:t>Vilkumise kaart;</w:t>
      </w:r>
    </w:p>
    <w:p w:rsidR="008E2539" w:rsidRPr="00CE7598" w:rsidRDefault="008E2539" w:rsidP="008E2539">
      <w:pPr>
        <w:pStyle w:val="ListParagraph"/>
        <w:numPr>
          <w:ilvl w:val="0"/>
          <w:numId w:val="15"/>
        </w:numPr>
        <w:spacing w:after="200" w:line="276" w:lineRule="auto"/>
        <w:rPr>
          <w:sz w:val="22"/>
          <w:szCs w:val="22"/>
        </w:rPr>
      </w:pPr>
      <w:r w:rsidRPr="00CE7598">
        <w:rPr>
          <w:sz w:val="22"/>
          <w:szCs w:val="22"/>
        </w:rPr>
        <w:t>Hooldusjuhend ja soovitused paigaldamiseks.</w:t>
      </w:r>
    </w:p>
    <w:p w:rsidR="008E2539" w:rsidRPr="001D75D5" w:rsidRDefault="00043132" w:rsidP="00104725">
      <w:pPr>
        <w:pStyle w:val="Heading3"/>
        <w:keepNext w:val="0"/>
        <w:keepLines w:val="0"/>
        <w:numPr>
          <w:ilvl w:val="2"/>
          <w:numId w:val="30"/>
        </w:numPr>
        <w:spacing w:line="271" w:lineRule="auto"/>
        <w:rPr>
          <w:sz w:val="26"/>
          <w:szCs w:val="26"/>
        </w:rPr>
      </w:pPr>
      <w:bookmarkStart w:id="19" w:name="_Toc375244143"/>
      <w:r w:rsidRPr="001D75D5">
        <w:rPr>
          <w:sz w:val="26"/>
          <w:szCs w:val="26"/>
        </w:rPr>
        <w:t>Tuulegeneraatori</w:t>
      </w:r>
      <w:r w:rsidR="008E2539" w:rsidRPr="001D75D5">
        <w:rPr>
          <w:sz w:val="26"/>
          <w:szCs w:val="26"/>
        </w:rPr>
        <w:t>te arhitektuursed tingimused</w:t>
      </w:r>
      <w:bookmarkEnd w:id="19"/>
    </w:p>
    <w:p w:rsidR="008E2539" w:rsidRPr="00CE7598" w:rsidRDefault="008E2539" w:rsidP="008E2539">
      <w:pPr>
        <w:pStyle w:val="ListParagraph"/>
        <w:numPr>
          <w:ilvl w:val="0"/>
          <w:numId w:val="16"/>
        </w:numPr>
        <w:spacing w:after="200" w:line="276" w:lineRule="auto"/>
        <w:rPr>
          <w:rFonts w:asciiTheme="minorHAnsi" w:hAnsiTheme="minorHAnsi"/>
          <w:sz w:val="22"/>
          <w:szCs w:val="22"/>
        </w:rPr>
      </w:pPr>
      <w:r w:rsidRPr="00CE7598">
        <w:rPr>
          <w:rFonts w:asciiTheme="minorHAnsi" w:hAnsiTheme="minorHAnsi"/>
          <w:sz w:val="22"/>
          <w:szCs w:val="22"/>
        </w:rPr>
        <w:t>Mast on monoliitne või terastorudest, ilma tõmmitsateta.</w:t>
      </w:r>
    </w:p>
    <w:p w:rsidR="008E2539" w:rsidRPr="00CE7598" w:rsidRDefault="008E2539" w:rsidP="008E2539">
      <w:pPr>
        <w:pStyle w:val="ListParagraph"/>
        <w:numPr>
          <w:ilvl w:val="0"/>
          <w:numId w:val="16"/>
        </w:numPr>
        <w:spacing w:after="200" w:line="276" w:lineRule="auto"/>
        <w:rPr>
          <w:rFonts w:asciiTheme="minorHAnsi" w:hAnsiTheme="minorHAnsi"/>
          <w:sz w:val="22"/>
          <w:szCs w:val="22"/>
        </w:rPr>
      </w:pPr>
      <w:r w:rsidRPr="00CE7598">
        <w:rPr>
          <w:rFonts w:asciiTheme="minorHAnsi" w:hAnsiTheme="minorHAnsi"/>
          <w:sz w:val="22"/>
          <w:szCs w:val="22"/>
        </w:rPr>
        <w:t>Metallsõrestikuga mast on lubatud erijuhtudel. Näiteks, kus ümbritsev keskkond toetab selle kasutamist (tööstuspiirkonnad (piirkond 4), kus paiknevad metallsõrestikuga elektrimastid).</w:t>
      </w:r>
    </w:p>
    <w:p w:rsidR="008E2539" w:rsidRPr="00CE7598" w:rsidRDefault="008E2539" w:rsidP="008E2539">
      <w:pPr>
        <w:pStyle w:val="ListParagraph"/>
        <w:numPr>
          <w:ilvl w:val="0"/>
          <w:numId w:val="16"/>
        </w:numPr>
        <w:spacing w:after="200" w:line="276" w:lineRule="auto"/>
        <w:rPr>
          <w:rFonts w:asciiTheme="minorHAnsi" w:hAnsiTheme="minorHAnsi"/>
          <w:sz w:val="22"/>
          <w:szCs w:val="22"/>
        </w:rPr>
      </w:pPr>
      <w:r w:rsidRPr="00CE7598">
        <w:rPr>
          <w:rFonts w:asciiTheme="minorHAnsi" w:hAnsiTheme="minorHAnsi"/>
          <w:sz w:val="22"/>
          <w:szCs w:val="22"/>
        </w:rPr>
        <w:lastRenderedPageBreak/>
        <w:t>Tiivikud on klaasfiibrist vormi valatud, voolujoonelised ja aerodünaamilised.</w:t>
      </w:r>
    </w:p>
    <w:p w:rsidR="008E2539" w:rsidRPr="00CE7598" w:rsidRDefault="008E2539" w:rsidP="008E2539">
      <w:pPr>
        <w:pStyle w:val="ListParagraph"/>
        <w:numPr>
          <w:ilvl w:val="0"/>
          <w:numId w:val="16"/>
        </w:numPr>
        <w:spacing w:after="200" w:line="276" w:lineRule="auto"/>
        <w:rPr>
          <w:rFonts w:asciiTheme="minorHAnsi" w:hAnsiTheme="minorHAnsi"/>
          <w:sz w:val="22"/>
          <w:szCs w:val="22"/>
        </w:rPr>
      </w:pPr>
      <w:r w:rsidRPr="00CE7598">
        <w:rPr>
          <w:rFonts w:asciiTheme="minorHAnsi" w:hAnsiTheme="minorHAnsi"/>
          <w:sz w:val="22"/>
          <w:szCs w:val="22"/>
        </w:rPr>
        <w:t>Metall-lehtedest kokku keevitatud, nurgelised ja sõrestikuga tiivikud on lubatud kohtades, kus ümbritsev keskkond toetab nende sellelaadsete tiivikute kasutamist (nt tööstuspiirkonnad (piirkond 4)).</w:t>
      </w:r>
    </w:p>
    <w:p w:rsidR="00BF6B9E" w:rsidRPr="00CE0E94" w:rsidRDefault="00CA54D6" w:rsidP="00BF6B9E">
      <w:r w:rsidRPr="00CE7598">
        <w:t>Elektrivõrku tootmise soovi korral tuleb projekteerida ja ehitada vastavalt elektriettevõtte tehnilistele tingimustele</w:t>
      </w:r>
      <w:r w:rsidR="00CE7598">
        <w:t>.</w:t>
      </w:r>
    </w:p>
    <w:sectPr w:rsidR="00BF6B9E" w:rsidRPr="00CE0E94" w:rsidSect="00662F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39" w:rsidRDefault="002D6639" w:rsidP="007D650B">
      <w:pPr>
        <w:spacing w:after="0" w:line="240" w:lineRule="auto"/>
      </w:pPr>
      <w:r>
        <w:separator/>
      </w:r>
    </w:p>
  </w:endnote>
  <w:endnote w:type="continuationSeparator" w:id="0">
    <w:p w:rsidR="002D6639" w:rsidRDefault="002D6639" w:rsidP="007D6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39" w:rsidRDefault="002D6639" w:rsidP="007D650B">
      <w:pPr>
        <w:spacing w:after="0" w:line="240" w:lineRule="auto"/>
      </w:pPr>
      <w:r>
        <w:separator/>
      </w:r>
    </w:p>
  </w:footnote>
  <w:footnote w:type="continuationSeparator" w:id="0">
    <w:p w:rsidR="002D6639" w:rsidRDefault="002D6639" w:rsidP="007D650B">
      <w:pPr>
        <w:spacing w:after="0" w:line="240" w:lineRule="auto"/>
      </w:pPr>
      <w:r>
        <w:continuationSeparator/>
      </w:r>
    </w:p>
  </w:footnote>
  <w:footnote w:id="1">
    <w:p w:rsidR="002D6639" w:rsidRDefault="002D6639" w:rsidP="007D650B">
      <w:pPr>
        <w:pStyle w:val="FootnoteText"/>
      </w:pPr>
      <w:r>
        <w:rPr>
          <w:rStyle w:val="FootnoteReference"/>
          <w:rFonts w:eastAsiaTheme="majorEastAsia"/>
        </w:rPr>
        <w:footnoteRef/>
      </w:r>
      <w:r>
        <w:t xml:space="preserve"> </w:t>
      </w:r>
      <w:r>
        <w:rPr>
          <w:lang w:eastAsia="en-US"/>
        </w:rPr>
        <w:t>Orienteeruv soojuspuuraukude lubatud puurimissügavus on esitatud ÜP kaardil...........</w:t>
      </w:r>
    </w:p>
  </w:footnote>
  <w:footnote w:id="2">
    <w:p w:rsidR="002D6639" w:rsidRDefault="002D6639" w:rsidP="007D650B">
      <w:pPr>
        <w:pStyle w:val="FootnoteText"/>
      </w:pPr>
      <w:r>
        <w:rPr>
          <w:rStyle w:val="FootnoteReference"/>
          <w:rFonts w:eastAsiaTheme="majorEastAsia"/>
        </w:rPr>
        <w:footnoteRef/>
      </w:r>
      <w:r>
        <w:t xml:space="preserve"> </w:t>
      </w:r>
      <w:r w:rsidRPr="004308E3">
        <w:t>Sanitaarkaitseala võib ulatuda veevõtukohast kuni 200 meetrini, kui põhjaveekihist võetakse üle 500 kuupmeetri vett ööpäevas. Sellise sanitaarkaitseala piirid kehtestab veehaarde projekti alusel Keskkonnaamet</w:t>
      </w:r>
      <w:r>
        <w:t>.</w:t>
      </w:r>
    </w:p>
  </w:footnote>
  <w:footnote w:id="3">
    <w:p w:rsidR="002D6639" w:rsidRDefault="002D6639" w:rsidP="007D650B">
      <w:pPr>
        <w:pStyle w:val="FootnoteText"/>
      </w:pPr>
      <w:r>
        <w:rPr>
          <w:rStyle w:val="FootnoteReference"/>
          <w:rFonts w:eastAsiaTheme="majorEastAsia"/>
        </w:rPr>
        <w:footnoteRef/>
      </w:r>
      <w:r>
        <w:t xml:space="preserve"> Katastri numbrid 4537, 4560, 4577, 7146, 7273, 10426, 17377, 19454, 7153 (kaks viimast on uuringukaevud ja peaks reeglina olema likvideeritud kuid vastavat kirjet pole)</w:t>
      </w:r>
    </w:p>
  </w:footnote>
  <w:footnote w:id="4">
    <w:p w:rsidR="002D6639" w:rsidRDefault="002D6639" w:rsidP="007D650B">
      <w:pPr>
        <w:pStyle w:val="FootnoteText"/>
      </w:pPr>
      <w:r>
        <w:rPr>
          <w:rStyle w:val="FootnoteReference"/>
          <w:rFonts w:eastAsiaTheme="majorEastAsia"/>
        </w:rPr>
        <w:footnoteRef/>
      </w:r>
      <w:r>
        <w:t xml:space="preserve"> </w:t>
      </w:r>
      <w:r w:rsidRPr="00BB76B1">
        <w:t>Soojuspuuraugu kaugust krundipiirist saab vähendada kui piiril asub näiteks tee, park roheala jne. Kinnistu piires oleva soojuspuuraukude grupi puuraukude vahekaugused määratakse vastava arvutuse teel.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0000003"/>
    <w:multiLevelType w:val="multilevel"/>
    <w:tmpl w:val="00000003"/>
    <w:name w:val="RTF_Num 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219390C"/>
    <w:multiLevelType w:val="multilevel"/>
    <w:tmpl w:val="7C205612"/>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562E08"/>
    <w:multiLevelType w:val="hybridMultilevel"/>
    <w:tmpl w:val="38825B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F8B08CE"/>
    <w:multiLevelType w:val="multilevel"/>
    <w:tmpl w:val="F7808D00"/>
    <w:lvl w:ilvl="0">
      <w:start w:val="8"/>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BC120D"/>
    <w:multiLevelType w:val="multilevel"/>
    <w:tmpl w:val="042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9C256EB"/>
    <w:multiLevelType w:val="hybridMultilevel"/>
    <w:tmpl w:val="705E25C4"/>
    <w:lvl w:ilvl="0" w:tplc="C7160F08">
      <w:start w:val="1"/>
      <w:numFmt w:val="bullet"/>
      <w:lvlText w:val=""/>
      <w:lvlJc w:val="left"/>
      <w:pPr>
        <w:tabs>
          <w:tab w:val="num" w:pos="1080"/>
        </w:tabs>
        <w:ind w:left="1080" w:hanging="360"/>
      </w:pPr>
      <w:rPr>
        <w:rFonts w:ascii="Symbol" w:eastAsia="PMingLiU" w:hAnsi="Symbol" w:hint="default"/>
        <w:color w:val="auto"/>
      </w:rPr>
    </w:lvl>
    <w:lvl w:ilvl="1" w:tplc="24AA168E" w:tentative="1">
      <w:start w:val="1"/>
      <w:numFmt w:val="bullet"/>
      <w:lvlText w:val="o"/>
      <w:lvlJc w:val="left"/>
      <w:pPr>
        <w:tabs>
          <w:tab w:val="num" w:pos="1800"/>
        </w:tabs>
        <w:ind w:left="1800" w:hanging="360"/>
      </w:pPr>
      <w:rPr>
        <w:rFonts w:ascii="Courier New" w:hAnsi="Courier New" w:hint="default"/>
      </w:rPr>
    </w:lvl>
    <w:lvl w:ilvl="2" w:tplc="84FAED20" w:tentative="1">
      <w:start w:val="1"/>
      <w:numFmt w:val="bullet"/>
      <w:lvlText w:val=""/>
      <w:lvlJc w:val="left"/>
      <w:pPr>
        <w:tabs>
          <w:tab w:val="num" w:pos="2520"/>
        </w:tabs>
        <w:ind w:left="2520" w:hanging="360"/>
      </w:pPr>
      <w:rPr>
        <w:rFonts w:ascii="Wingdings" w:hAnsi="Wingdings" w:hint="default"/>
      </w:rPr>
    </w:lvl>
    <w:lvl w:ilvl="3" w:tplc="92CAFCAA" w:tentative="1">
      <w:start w:val="1"/>
      <w:numFmt w:val="bullet"/>
      <w:lvlText w:val=""/>
      <w:lvlJc w:val="left"/>
      <w:pPr>
        <w:tabs>
          <w:tab w:val="num" w:pos="3240"/>
        </w:tabs>
        <w:ind w:left="3240" w:hanging="360"/>
      </w:pPr>
      <w:rPr>
        <w:rFonts w:ascii="Symbol" w:hAnsi="Symbol" w:hint="default"/>
      </w:rPr>
    </w:lvl>
    <w:lvl w:ilvl="4" w:tplc="ABF6A808" w:tentative="1">
      <w:start w:val="1"/>
      <w:numFmt w:val="bullet"/>
      <w:lvlText w:val="o"/>
      <w:lvlJc w:val="left"/>
      <w:pPr>
        <w:tabs>
          <w:tab w:val="num" w:pos="3960"/>
        </w:tabs>
        <w:ind w:left="3960" w:hanging="360"/>
      </w:pPr>
      <w:rPr>
        <w:rFonts w:ascii="Courier New" w:hAnsi="Courier New" w:hint="default"/>
      </w:rPr>
    </w:lvl>
    <w:lvl w:ilvl="5" w:tplc="AD60E34E" w:tentative="1">
      <w:start w:val="1"/>
      <w:numFmt w:val="bullet"/>
      <w:lvlText w:val=""/>
      <w:lvlJc w:val="left"/>
      <w:pPr>
        <w:tabs>
          <w:tab w:val="num" w:pos="4680"/>
        </w:tabs>
        <w:ind w:left="4680" w:hanging="360"/>
      </w:pPr>
      <w:rPr>
        <w:rFonts w:ascii="Wingdings" w:hAnsi="Wingdings" w:hint="default"/>
      </w:rPr>
    </w:lvl>
    <w:lvl w:ilvl="6" w:tplc="A4365376" w:tentative="1">
      <w:start w:val="1"/>
      <w:numFmt w:val="bullet"/>
      <w:lvlText w:val=""/>
      <w:lvlJc w:val="left"/>
      <w:pPr>
        <w:tabs>
          <w:tab w:val="num" w:pos="5400"/>
        </w:tabs>
        <w:ind w:left="5400" w:hanging="360"/>
      </w:pPr>
      <w:rPr>
        <w:rFonts w:ascii="Symbol" w:hAnsi="Symbol" w:hint="default"/>
      </w:rPr>
    </w:lvl>
    <w:lvl w:ilvl="7" w:tplc="3CE2F31E" w:tentative="1">
      <w:start w:val="1"/>
      <w:numFmt w:val="bullet"/>
      <w:lvlText w:val="o"/>
      <w:lvlJc w:val="left"/>
      <w:pPr>
        <w:tabs>
          <w:tab w:val="num" w:pos="6120"/>
        </w:tabs>
        <w:ind w:left="6120" w:hanging="360"/>
      </w:pPr>
      <w:rPr>
        <w:rFonts w:ascii="Courier New" w:hAnsi="Courier New" w:hint="default"/>
      </w:rPr>
    </w:lvl>
    <w:lvl w:ilvl="8" w:tplc="8A5A2380" w:tentative="1">
      <w:start w:val="1"/>
      <w:numFmt w:val="bullet"/>
      <w:lvlText w:val=""/>
      <w:lvlJc w:val="left"/>
      <w:pPr>
        <w:tabs>
          <w:tab w:val="num" w:pos="6840"/>
        </w:tabs>
        <w:ind w:left="6840" w:hanging="360"/>
      </w:pPr>
      <w:rPr>
        <w:rFonts w:ascii="Wingdings" w:hAnsi="Wingdings" w:hint="default"/>
      </w:rPr>
    </w:lvl>
  </w:abstractNum>
  <w:abstractNum w:abstractNumId="7">
    <w:nsid w:val="1BB22E97"/>
    <w:multiLevelType w:val="multilevel"/>
    <w:tmpl w:val="958E16CC"/>
    <w:lvl w:ilvl="0">
      <w:start w:val="1"/>
      <w:numFmt w:val="decimal"/>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ED75B5D"/>
    <w:multiLevelType w:val="multilevel"/>
    <w:tmpl w:val="9FB6A9F6"/>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947328B"/>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DEE3AA0"/>
    <w:multiLevelType w:val="multilevel"/>
    <w:tmpl w:val="840409EE"/>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EF93ED6"/>
    <w:multiLevelType w:val="multilevel"/>
    <w:tmpl w:val="97CCF67A"/>
    <w:lvl w:ilvl="0">
      <w:start w:val="10"/>
      <w:numFmt w:val="decimal"/>
      <w:lvlText w:val="%1."/>
      <w:lvlJc w:val="left"/>
      <w:pPr>
        <w:ind w:left="525" w:hanging="52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2">
    <w:nsid w:val="3FCE025E"/>
    <w:multiLevelType w:val="multilevel"/>
    <w:tmpl w:val="042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49B372D"/>
    <w:multiLevelType w:val="hybridMultilevel"/>
    <w:tmpl w:val="E0CC9D80"/>
    <w:lvl w:ilvl="0" w:tplc="EFEE3A26">
      <w:start w:val="1"/>
      <w:numFmt w:val="bullet"/>
      <w:lvlText w:val=""/>
      <w:lvlJc w:val="left"/>
      <w:pPr>
        <w:tabs>
          <w:tab w:val="num" w:pos="1080"/>
        </w:tabs>
        <w:ind w:left="1080" w:hanging="360"/>
      </w:pPr>
      <w:rPr>
        <w:rFonts w:ascii="Symbol" w:eastAsia="PMingLiU" w:hAnsi="Symbol" w:hint="default"/>
        <w:color w:val="auto"/>
      </w:rPr>
    </w:lvl>
    <w:lvl w:ilvl="1" w:tplc="1AD0FC08" w:tentative="1">
      <w:start w:val="1"/>
      <w:numFmt w:val="bullet"/>
      <w:lvlText w:val="o"/>
      <w:lvlJc w:val="left"/>
      <w:pPr>
        <w:tabs>
          <w:tab w:val="num" w:pos="1800"/>
        </w:tabs>
        <w:ind w:left="1800" w:hanging="360"/>
      </w:pPr>
      <w:rPr>
        <w:rFonts w:ascii="Courier New" w:hAnsi="Courier New" w:hint="default"/>
      </w:rPr>
    </w:lvl>
    <w:lvl w:ilvl="2" w:tplc="59B04B54" w:tentative="1">
      <w:start w:val="1"/>
      <w:numFmt w:val="bullet"/>
      <w:lvlText w:val=""/>
      <w:lvlJc w:val="left"/>
      <w:pPr>
        <w:tabs>
          <w:tab w:val="num" w:pos="2520"/>
        </w:tabs>
        <w:ind w:left="2520" w:hanging="360"/>
      </w:pPr>
      <w:rPr>
        <w:rFonts w:ascii="Wingdings" w:hAnsi="Wingdings" w:hint="default"/>
      </w:rPr>
    </w:lvl>
    <w:lvl w:ilvl="3" w:tplc="48A2F92E" w:tentative="1">
      <w:start w:val="1"/>
      <w:numFmt w:val="bullet"/>
      <w:lvlText w:val=""/>
      <w:lvlJc w:val="left"/>
      <w:pPr>
        <w:tabs>
          <w:tab w:val="num" w:pos="3240"/>
        </w:tabs>
        <w:ind w:left="3240" w:hanging="360"/>
      </w:pPr>
      <w:rPr>
        <w:rFonts w:ascii="Symbol" w:hAnsi="Symbol" w:hint="default"/>
      </w:rPr>
    </w:lvl>
    <w:lvl w:ilvl="4" w:tplc="E1DE9C5A" w:tentative="1">
      <w:start w:val="1"/>
      <w:numFmt w:val="bullet"/>
      <w:lvlText w:val="o"/>
      <w:lvlJc w:val="left"/>
      <w:pPr>
        <w:tabs>
          <w:tab w:val="num" w:pos="3960"/>
        </w:tabs>
        <w:ind w:left="3960" w:hanging="360"/>
      </w:pPr>
      <w:rPr>
        <w:rFonts w:ascii="Courier New" w:hAnsi="Courier New" w:hint="default"/>
      </w:rPr>
    </w:lvl>
    <w:lvl w:ilvl="5" w:tplc="C616EE80" w:tentative="1">
      <w:start w:val="1"/>
      <w:numFmt w:val="bullet"/>
      <w:lvlText w:val=""/>
      <w:lvlJc w:val="left"/>
      <w:pPr>
        <w:tabs>
          <w:tab w:val="num" w:pos="4680"/>
        </w:tabs>
        <w:ind w:left="4680" w:hanging="360"/>
      </w:pPr>
      <w:rPr>
        <w:rFonts w:ascii="Wingdings" w:hAnsi="Wingdings" w:hint="default"/>
      </w:rPr>
    </w:lvl>
    <w:lvl w:ilvl="6" w:tplc="6B38BCFA" w:tentative="1">
      <w:start w:val="1"/>
      <w:numFmt w:val="bullet"/>
      <w:lvlText w:val=""/>
      <w:lvlJc w:val="left"/>
      <w:pPr>
        <w:tabs>
          <w:tab w:val="num" w:pos="5400"/>
        </w:tabs>
        <w:ind w:left="5400" w:hanging="360"/>
      </w:pPr>
      <w:rPr>
        <w:rFonts w:ascii="Symbol" w:hAnsi="Symbol" w:hint="default"/>
      </w:rPr>
    </w:lvl>
    <w:lvl w:ilvl="7" w:tplc="67BE82F0" w:tentative="1">
      <w:start w:val="1"/>
      <w:numFmt w:val="bullet"/>
      <w:lvlText w:val="o"/>
      <w:lvlJc w:val="left"/>
      <w:pPr>
        <w:tabs>
          <w:tab w:val="num" w:pos="6120"/>
        </w:tabs>
        <w:ind w:left="6120" w:hanging="360"/>
      </w:pPr>
      <w:rPr>
        <w:rFonts w:ascii="Courier New" w:hAnsi="Courier New" w:hint="default"/>
      </w:rPr>
    </w:lvl>
    <w:lvl w:ilvl="8" w:tplc="D1A43E40" w:tentative="1">
      <w:start w:val="1"/>
      <w:numFmt w:val="bullet"/>
      <w:lvlText w:val=""/>
      <w:lvlJc w:val="left"/>
      <w:pPr>
        <w:tabs>
          <w:tab w:val="num" w:pos="6840"/>
        </w:tabs>
        <w:ind w:left="6840" w:hanging="360"/>
      </w:pPr>
      <w:rPr>
        <w:rFonts w:ascii="Wingdings" w:hAnsi="Wingdings" w:hint="default"/>
      </w:rPr>
    </w:lvl>
  </w:abstractNum>
  <w:abstractNum w:abstractNumId="14">
    <w:nsid w:val="495457D6"/>
    <w:multiLevelType w:val="hybridMultilevel"/>
    <w:tmpl w:val="E54E817C"/>
    <w:lvl w:ilvl="0" w:tplc="6BA06394">
      <w:start w:val="1"/>
      <w:numFmt w:val="decimal"/>
      <w:lvlText w:val="%1."/>
      <w:lvlJc w:val="left"/>
      <w:pPr>
        <w:ind w:left="720" w:hanging="360"/>
      </w:pPr>
    </w:lvl>
    <w:lvl w:ilvl="1" w:tplc="BFC0C06E" w:tentative="1">
      <w:start w:val="1"/>
      <w:numFmt w:val="lowerLetter"/>
      <w:lvlText w:val="%2."/>
      <w:lvlJc w:val="left"/>
      <w:pPr>
        <w:ind w:left="1440" w:hanging="360"/>
      </w:pPr>
    </w:lvl>
    <w:lvl w:ilvl="2" w:tplc="ACC45356" w:tentative="1">
      <w:start w:val="1"/>
      <w:numFmt w:val="lowerRoman"/>
      <w:lvlText w:val="%3."/>
      <w:lvlJc w:val="right"/>
      <w:pPr>
        <w:ind w:left="2160" w:hanging="180"/>
      </w:pPr>
    </w:lvl>
    <w:lvl w:ilvl="3" w:tplc="835CE2B0" w:tentative="1">
      <w:start w:val="1"/>
      <w:numFmt w:val="decimal"/>
      <w:lvlText w:val="%4."/>
      <w:lvlJc w:val="left"/>
      <w:pPr>
        <w:ind w:left="2880" w:hanging="360"/>
      </w:pPr>
    </w:lvl>
    <w:lvl w:ilvl="4" w:tplc="F7E46A08" w:tentative="1">
      <w:start w:val="1"/>
      <w:numFmt w:val="lowerLetter"/>
      <w:lvlText w:val="%5."/>
      <w:lvlJc w:val="left"/>
      <w:pPr>
        <w:ind w:left="3600" w:hanging="360"/>
      </w:pPr>
    </w:lvl>
    <w:lvl w:ilvl="5" w:tplc="4B0C9BCA" w:tentative="1">
      <w:start w:val="1"/>
      <w:numFmt w:val="lowerRoman"/>
      <w:lvlText w:val="%6."/>
      <w:lvlJc w:val="right"/>
      <w:pPr>
        <w:ind w:left="4320" w:hanging="180"/>
      </w:pPr>
    </w:lvl>
    <w:lvl w:ilvl="6" w:tplc="111830E0" w:tentative="1">
      <w:start w:val="1"/>
      <w:numFmt w:val="decimal"/>
      <w:lvlText w:val="%7."/>
      <w:lvlJc w:val="left"/>
      <w:pPr>
        <w:ind w:left="5040" w:hanging="360"/>
      </w:pPr>
    </w:lvl>
    <w:lvl w:ilvl="7" w:tplc="67521EDA" w:tentative="1">
      <w:start w:val="1"/>
      <w:numFmt w:val="lowerLetter"/>
      <w:lvlText w:val="%8."/>
      <w:lvlJc w:val="left"/>
      <w:pPr>
        <w:ind w:left="5760" w:hanging="360"/>
      </w:pPr>
    </w:lvl>
    <w:lvl w:ilvl="8" w:tplc="1012DF72" w:tentative="1">
      <w:start w:val="1"/>
      <w:numFmt w:val="lowerRoman"/>
      <w:lvlText w:val="%9."/>
      <w:lvlJc w:val="right"/>
      <w:pPr>
        <w:ind w:left="6480" w:hanging="180"/>
      </w:pPr>
    </w:lvl>
  </w:abstractNum>
  <w:abstractNum w:abstractNumId="15">
    <w:nsid w:val="4B473264"/>
    <w:multiLevelType w:val="hybridMultilevel"/>
    <w:tmpl w:val="EC16BD02"/>
    <w:lvl w:ilvl="0" w:tplc="1AFA4B54">
      <w:start w:val="1"/>
      <w:numFmt w:val="decimal"/>
      <w:lvlText w:val="%1."/>
      <w:lvlJc w:val="left"/>
      <w:pPr>
        <w:ind w:left="720" w:hanging="360"/>
      </w:pPr>
    </w:lvl>
    <w:lvl w:ilvl="1" w:tplc="6E287E28" w:tentative="1">
      <w:start w:val="1"/>
      <w:numFmt w:val="lowerLetter"/>
      <w:lvlText w:val="%2."/>
      <w:lvlJc w:val="left"/>
      <w:pPr>
        <w:ind w:left="1440" w:hanging="360"/>
      </w:pPr>
    </w:lvl>
    <w:lvl w:ilvl="2" w:tplc="2AF69B42" w:tentative="1">
      <w:start w:val="1"/>
      <w:numFmt w:val="lowerRoman"/>
      <w:lvlText w:val="%3."/>
      <w:lvlJc w:val="right"/>
      <w:pPr>
        <w:ind w:left="2160" w:hanging="180"/>
      </w:pPr>
    </w:lvl>
    <w:lvl w:ilvl="3" w:tplc="9BC6768C" w:tentative="1">
      <w:start w:val="1"/>
      <w:numFmt w:val="decimal"/>
      <w:lvlText w:val="%4."/>
      <w:lvlJc w:val="left"/>
      <w:pPr>
        <w:ind w:left="2880" w:hanging="360"/>
      </w:pPr>
    </w:lvl>
    <w:lvl w:ilvl="4" w:tplc="7D768542" w:tentative="1">
      <w:start w:val="1"/>
      <w:numFmt w:val="lowerLetter"/>
      <w:lvlText w:val="%5."/>
      <w:lvlJc w:val="left"/>
      <w:pPr>
        <w:ind w:left="3600" w:hanging="360"/>
      </w:pPr>
    </w:lvl>
    <w:lvl w:ilvl="5" w:tplc="B90A49E0" w:tentative="1">
      <w:start w:val="1"/>
      <w:numFmt w:val="lowerRoman"/>
      <w:lvlText w:val="%6."/>
      <w:lvlJc w:val="right"/>
      <w:pPr>
        <w:ind w:left="4320" w:hanging="180"/>
      </w:pPr>
    </w:lvl>
    <w:lvl w:ilvl="6" w:tplc="7D98CCE0" w:tentative="1">
      <w:start w:val="1"/>
      <w:numFmt w:val="decimal"/>
      <w:lvlText w:val="%7."/>
      <w:lvlJc w:val="left"/>
      <w:pPr>
        <w:ind w:left="5040" w:hanging="360"/>
      </w:pPr>
    </w:lvl>
    <w:lvl w:ilvl="7" w:tplc="5E16CBB2" w:tentative="1">
      <w:start w:val="1"/>
      <w:numFmt w:val="lowerLetter"/>
      <w:lvlText w:val="%8."/>
      <w:lvlJc w:val="left"/>
      <w:pPr>
        <w:ind w:left="5760" w:hanging="360"/>
      </w:pPr>
    </w:lvl>
    <w:lvl w:ilvl="8" w:tplc="0E6EDFAA" w:tentative="1">
      <w:start w:val="1"/>
      <w:numFmt w:val="lowerRoman"/>
      <w:lvlText w:val="%9."/>
      <w:lvlJc w:val="right"/>
      <w:pPr>
        <w:ind w:left="6480" w:hanging="180"/>
      </w:pPr>
    </w:lvl>
  </w:abstractNum>
  <w:abstractNum w:abstractNumId="16">
    <w:nsid w:val="4D807858"/>
    <w:multiLevelType w:val="hybridMultilevel"/>
    <w:tmpl w:val="477CB466"/>
    <w:lvl w:ilvl="0" w:tplc="5ECABF6E">
      <w:start w:val="1"/>
      <w:numFmt w:val="decimal"/>
      <w:lvlText w:val="%1."/>
      <w:lvlJc w:val="left"/>
      <w:pPr>
        <w:ind w:left="720" w:hanging="360"/>
      </w:pPr>
    </w:lvl>
    <w:lvl w:ilvl="1" w:tplc="7EA8926A" w:tentative="1">
      <w:start w:val="1"/>
      <w:numFmt w:val="lowerLetter"/>
      <w:lvlText w:val="%2."/>
      <w:lvlJc w:val="left"/>
      <w:pPr>
        <w:ind w:left="1440" w:hanging="360"/>
      </w:pPr>
    </w:lvl>
    <w:lvl w:ilvl="2" w:tplc="57AE0D0E" w:tentative="1">
      <w:start w:val="1"/>
      <w:numFmt w:val="lowerRoman"/>
      <w:lvlText w:val="%3."/>
      <w:lvlJc w:val="right"/>
      <w:pPr>
        <w:ind w:left="2160" w:hanging="180"/>
      </w:pPr>
    </w:lvl>
    <w:lvl w:ilvl="3" w:tplc="42808D6E" w:tentative="1">
      <w:start w:val="1"/>
      <w:numFmt w:val="decimal"/>
      <w:lvlText w:val="%4."/>
      <w:lvlJc w:val="left"/>
      <w:pPr>
        <w:ind w:left="2880" w:hanging="360"/>
      </w:pPr>
    </w:lvl>
    <w:lvl w:ilvl="4" w:tplc="49721D22" w:tentative="1">
      <w:start w:val="1"/>
      <w:numFmt w:val="lowerLetter"/>
      <w:lvlText w:val="%5."/>
      <w:lvlJc w:val="left"/>
      <w:pPr>
        <w:ind w:left="3600" w:hanging="360"/>
      </w:pPr>
    </w:lvl>
    <w:lvl w:ilvl="5" w:tplc="F55C4BA0" w:tentative="1">
      <w:start w:val="1"/>
      <w:numFmt w:val="lowerRoman"/>
      <w:lvlText w:val="%6."/>
      <w:lvlJc w:val="right"/>
      <w:pPr>
        <w:ind w:left="4320" w:hanging="180"/>
      </w:pPr>
    </w:lvl>
    <w:lvl w:ilvl="6" w:tplc="AD9EFD14" w:tentative="1">
      <w:start w:val="1"/>
      <w:numFmt w:val="decimal"/>
      <w:lvlText w:val="%7."/>
      <w:lvlJc w:val="left"/>
      <w:pPr>
        <w:ind w:left="5040" w:hanging="360"/>
      </w:pPr>
    </w:lvl>
    <w:lvl w:ilvl="7" w:tplc="AD2AC974" w:tentative="1">
      <w:start w:val="1"/>
      <w:numFmt w:val="lowerLetter"/>
      <w:lvlText w:val="%8."/>
      <w:lvlJc w:val="left"/>
      <w:pPr>
        <w:ind w:left="5760" w:hanging="360"/>
      </w:pPr>
    </w:lvl>
    <w:lvl w:ilvl="8" w:tplc="19A42492" w:tentative="1">
      <w:start w:val="1"/>
      <w:numFmt w:val="lowerRoman"/>
      <w:lvlText w:val="%9."/>
      <w:lvlJc w:val="right"/>
      <w:pPr>
        <w:ind w:left="6480" w:hanging="180"/>
      </w:pPr>
    </w:lvl>
  </w:abstractNum>
  <w:abstractNum w:abstractNumId="17">
    <w:nsid w:val="52967BDB"/>
    <w:multiLevelType w:val="hybridMultilevel"/>
    <w:tmpl w:val="9476EC2E"/>
    <w:lvl w:ilvl="0" w:tplc="0425000F">
      <w:start w:val="1"/>
      <w:numFmt w:val="bullet"/>
      <w:lvlText w:val=""/>
      <w:lvlJc w:val="left"/>
      <w:pPr>
        <w:ind w:left="360" w:hanging="360"/>
      </w:pPr>
      <w:rPr>
        <w:rFonts w:ascii="Symbol" w:hAnsi="Symbol" w:hint="default"/>
      </w:rPr>
    </w:lvl>
    <w:lvl w:ilvl="1" w:tplc="04250019" w:tentative="1">
      <w:start w:val="1"/>
      <w:numFmt w:val="bullet"/>
      <w:lvlText w:val="o"/>
      <w:lvlJc w:val="left"/>
      <w:pPr>
        <w:ind w:left="1080" w:hanging="360"/>
      </w:pPr>
      <w:rPr>
        <w:rFonts w:ascii="Courier New" w:hAnsi="Courier New" w:hint="default"/>
      </w:rPr>
    </w:lvl>
    <w:lvl w:ilvl="2" w:tplc="0425001B" w:tentative="1">
      <w:start w:val="1"/>
      <w:numFmt w:val="bullet"/>
      <w:lvlText w:val=""/>
      <w:lvlJc w:val="left"/>
      <w:pPr>
        <w:ind w:left="1800" w:hanging="360"/>
      </w:pPr>
      <w:rPr>
        <w:rFonts w:ascii="Wingdings" w:hAnsi="Wingdings" w:hint="default"/>
      </w:rPr>
    </w:lvl>
    <w:lvl w:ilvl="3" w:tplc="0425000F" w:tentative="1">
      <w:start w:val="1"/>
      <w:numFmt w:val="bullet"/>
      <w:lvlText w:val=""/>
      <w:lvlJc w:val="left"/>
      <w:pPr>
        <w:ind w:left="2520" w:hanging="360"/>
      </w:pPr>
      <w:rPr>
        <w:rFonts w:ascii="Symbol" w:hAnsi="Symbol" w:hint="default"/>
      </w:rPr>
    </w:lvl>
    <w:lvl w:ilvl="4" w:tplc="04250019" w:tentative="1">
      <w:start w:val="1"/>
      <w:numFmt w:val="bullet"/>
      <w:lvlText w:val="o"/>
      <w:lvlJc w:val="left"/>
      <w:pPr>
        <w:ind w:left="3240" w:hanging="360"/>
      </w:pPr>
      <w:rPr>
        <w:rFonts w:ascii="Courier New" w:hAnsi="Courier New" w:hint="default"/>
      </w:rPr>
    </w:lvl>
    <w:lvl w:ilvl="5" w:tplc="0425001B" w:tentative="1">
      <w:start w:val="1"/>
      <w:numFmt w:val="bullet"/>
      <w:lvlText w:val=""/>
      <w:lvlJc w:val="left"/>
      <w:pPr>
        <w:ind w:left="3960" w:hanging="360"/>
      </w:pPr>
      <w:rPr>
        <w:rFonts w:ascii="Wingdings" w:hAnsi="Wingdings" w:hint="default"/>
      </w:rPr>
    </w:lvl>
    <w:lvl w:ilvl="6" w:tplc="0425000F" w:tentative="1">
      <w:start w:val="1"/>
      <w:numFmt w:val="bullet"/>
      <w:lvlText w:val=""/>
      <w:lvlJc w:val="left"/>
      <w:pPr>
        <w:ind w:left="4680" w:hanging="360"/>
      </w:pPr>
      <w:rPr>
        <w:rFonts w:ascii="Symbol" w:hAnsi="Symbol" w:hint="default"/>
      </w:rPr>
    </w:lvl>
    <w:lvl w:ilvl="7" w:tplc="04250019" w:tentative="1">
      <w:start w:val="1"/>
      <w:numFmt w:val="bullet"/>
      <w:lvlText w:val="o"/>
      <w:lvlJc w:val="left"/>
      <w:pPr>
        <w:ind w:left="5400" w:hanging="360"/>
      </w:pPr>
      <w:rPr>
        <w:rFonts w:ascii="Courier New" w:hAnsi="Courier New" w:hint="default"/>
      </w:rPr>
    </w:lvl>
    <w:lvl w:ilvl="8" w:tplc="0425001B" w:tentative="1">
      <w:start w:val="1"/>
      <w:numFmt w:val="bullet"/>
      <w:lvlText w:val=""/>
      <w:lvlJc w:val="left"/>
      <w:pPr>
        <w:ind w:left="6120" w:hanging="360"/>
      </w:pPr>
      <w:rPr>
        <w:rFonts w:ascii="Wingdings" w:hAnsi="Wingdings" w:hint="default"/>
      </w:rPr>
    </w:lvl>
  </w:abstractNum>
  <w:abstractNum w:abstractNumId="18">
    <w:nsid w:val="53093579"/>
    <w:multiLevelType w:val="hybridMultilevel"/>
    <w:tmpl w:val="FA1830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8307D4F"/>
    <w:multiLevelType w:val="hybridMultilevel"/>
    <w:tmpl w:val="3F727F96"/>
    <w:lvl w:ilvl="0" w:tplc="0425000F">
      <w:start w:val="1"/>
      <w:numFmt w:val="bullet"/>
      <w:lvlText w:val=""/>
      <w:lvlJc w:val="left"/>
      <w:pPr>
        <w:ind w:left="720" w:hanging="360"/>
      </w:pPr>
      <w:rPr>
        <w:rFonts w:ascii="Symbol" w:hAnsi="Symbol" w:hint="default"/>
      </w:rPr>
    </w:lvl>
    <w:lvl w:ilvl="1" w:tplc="04250019" w:tentative="1">
      <w:start w:val="1"/>
      <w:numFmt w:val="bullet"/>
      <w:lvlText w:val="o"/>
      <w:lvlJc w:val="left"/>
      <w:pPr>
        <w:ind w:left="1440" w:hanging="360"/>
      </w:pPr>
      <w:rPr>
        <w:rFonts w:ascii="Courier New" w:hAnsi="Courier New" w:hint="default"/>
      </w:rPr>
    </w:lvl>
    <w:lvl w:ilvl="2" w:tplc="0425001B" w:tentative="1">
      <w:start w:val="1"/>
      <w:numFmt w:val="bullet"/>
      <w:lvlText w:val=""/>
      <w:lvlJc w:val="left"/>
      <w:pPr>
        <w:ind w:left="2160" w:hanging="360"/>
      </w:pPr>
      <w:rPr>
        <w:rFonts w:ascii="Wingdings" w:hAnsi="Wingdings" w:hint="default"/>
      </w:rPr>
    </w:lvl>
    <w:lvl w:ilvl="3" w:tplc="0425000F" w:tentative="1">
      <w:start w:val="1"/>
      <w:numFmt w:val="bullet"/>
      <w:lvlText w:val=""/>
      <w:lvlJc w:val="left"/>
      <w:pPr>
        <w:ind w:left="2880" w:hanging="360"/>
      </w:pPr>
      <w:rPr>
        <w:rFonts w:ascii="Symbol" w:hAnsi="Symbol" w:hint="default"/>
      </w:rPr>
    </w:lvl>
    <w:lvl w:ilvl="4" w:tplc="04250019" w:tentative="1">
      <w:start w:val="1"/>
      <w:numFmt w:val="bullet"/>
      <w:lvlText w:val="o"/>
      <w:lvlJc w:val="left"/>
      <w:pPr>
        <w:ind w:left="3600" w:hanging="360"/>
      </w:pPr>
      <w:rPr>
        <w:rFonts w:ascii="Courier New" w:hAnsi="Courier New" w:hint="default"/>
      </w:rPr>
    </w:lvl>
    <w:lvl w:ilvl="5" w:tplc="0425001B" w:tentative="1">
      <w:start w:val="1"/>
      <w:numFmt w:val="bullet"/>
      <w:lvlText w:val=""/>
      <w:lvlJc w:val="left"/>
      <w:pPr>
        <w:ind w:left="4320" w:hanging="360"/>
      </w:pPr>
      <w:rPr>
        <w:rFonts w:ascii="Wingdings" w:hAnsi="Wingdings" w:hint="default"/>
      </w:rPr>
    </w:lvl>
    <w:lvl w:ilvl="6" w:tplc="0425000F" w:tentative="1">
      <w:start w:val="1"/>
      <w:numFmt w:val="bullet"/>
      <w:lvlText w:val=""/>
      <w:lvlJc w:val="left"/>
      <w:pPr>
        <w:ind w:left="5040" w:hanging="360"/>
      </w:pPr>
      <w:rPr>
        <w:rFonts w:ascii="Symbol" w:hAnsi="Symbol" w:hint="default"/>
      </w:rPr>
    </w:lvl>
    <w:lvl w:ilvl="7" w:tplc="04250019" w:tentative="1">
      <w:start w:val="1"/>
      <w:numFmt w:val="bullet"/>
      <w:lvlText w:val="o"/>
      <w:lvlJc w:val="left"/>
      <w:pPr>
        <w:ind w:left="5760" w:hanging="360"/>
      </w:pPr>
      <w:rPr>
        <w:rFonts w:ascii="Courier New" w:hAnsi="Courier New" w:hint="default"/>
      </w:rPr>
    </w:lvl>
    <w:lvl w:ilvl="8" w:tplc="0425001B" w:tentative="1">
      <w:start w:val="1"/>
      <w:numFmt w:val="bullet"/>
      <w:lvlText w:val=""/>
      <w:lvlJc w:val="left"/>
      <w:pPr>
        <w:ind w:left="6480" w:hanging="360"/>
      </w:pPr>
      <w:rPr>
        <w:rFonts w:ascii="Wingdings" w:hAnsi="Wingdings" w:hint="default"/>
      </w:rPr>
    </w:lvl>
  </w:abstractNum>
  <w:abstractNum w:abstractNumId="20">
    <w:nsid w:val="587D6F91"/>
    <w:multiLevelType w:val="hybridMultilevel"/>
    <w:tmpl w:val="B5BA56EC"/>
    <w:lvl w:ilvl="0" w:tplc="F0E8ABBA">
      <w:start w:val="1"/>
      <w:numFmt w:val="bullet"/>
      <w:lvlText w:val=""/>
      <w:lvlJc w:val="left"/>
      <w:pPr>
        <w:tabs>
          <w:tab w:val="num" w:pos="1080"/>
        </w:tabs>
        <w:ind w:left="1080" w:hanging="360"/>
      </w:pPr>
      <w:rPr>
        <w:rFonts w:ascii="Symbol" w:eastAsia="PMingLiU" w:hAnsi="Symbol" w:hint="default"/>
        <w:color w:val="auto"/>
      </w:rPr>
    </w:lvl>
    <w:lvl w:ilvl="1" w:tplc="6A1E9398" w:tentative="1">
      <w:start w:val="1"/>
      <w:numFmt w:val="bullet"/>
      <w:lvlText w:val="o"/>
      <w:lvlJc w:val="left"/>
      <w:pPr>
        <w:tabs>
          <w:tab w:val="num" w:pos="1800"/>
        </w:tabs>
        <w:ind w:left="1800" w:hanging="360"/>
      </w:pPr>
      <w:rPr>
        <w:rFonts w:ascii="Courier New" w:hAnsi="Courier New" w:hint="default"/>
      </w:rPr>
    </w:lvl>
    <w:lvl w:ilvl="2" w:tplc="D71282FC" w:tentative="1">
      <w:start w:val="1"/>
      <w:numFmt w:val="bullet"/>
      <w:lvlText w:val=""/>
      <w:lvlJc w:val="left"/>
      <w:pPr>
        <w:tabs>
          <w:tab w:val="num" w:pos="2520"/>
        </w:tabs>
        <w:ind w:left="2520" w:hanging="360"/>
      </w:pPr>
      <w:rPr>
        <w:rFonts w:ascii="Wingdings" w:hAnsi="Wingdings" w:hint="default"/>
      </w:rPr>
    </w:lvl>
    <w:lvl w:ilvl="3" w:tplc="6010B69A" w:tentative="1">
      <w:start w:val="1"/>
      <w:numFmt w:val="bullet"/>
      <w:lvlText w:val=""/>
      <w:lvlJc w:val="left"/>
      <w:pPr>
        <w:tabs>
          <w:tab w:val="num" w:pos="3240"/>
        </w:tabs>
        <w:ind w:left="3240" w:hanging="360"/>
      </w:pPr>
      <w:rPr>
        <w:rFonts w:ascii="Symbol" w:hAnsi="Symbol" w:hint="default"/>
      </w:rPr>
    </w:lvl>
    <w:lvl w:ilvl="4" w:tplc="B578318E" w:tentative="1">
      <w:start w:val="1"/>
      <w:numFmt w:val="bullet"/>
      <w:lvlText w:val="o"/>
      <w:lvlJc w:val="left"/>
      <w:pPr>
        <w:tabs>
          <w:tab w:val="num" w:pos="3960"/>
        </w:tabs>
        <w:ind w:left="3960" w:hanging="360"/>
      </w:pPr>
      <w:rPr>
        <w:rFonts w:ascii="Courier New" w:hAnsi="Courier New" w:hint="default"/>
      </w:rPr>
    </w:lvl>
    <w:lvl w:ilvl="5" w:tplc="646623CA" w:tentative="1">
      <w:start w:val="1"/>
      <w:numFmt w:val="bullet"/>
      <w:lvlText w:val=""/>
      <w:lvlJc w:val="left"/>
      <w:pPr>
        <w:tabs>
          <w:tab w:val="num" w:pos="4680"/>
        </w:tabs>
        <w:ind w:left="4680" w:hanging="360"/>
      </w:pPr>
      <w:rPr>
        <w:rFonts w:ascii="Wingdings" w:hAnsi="Wingdings" w:hint="default"/>
      </w:rPr>
    </w:lvl>
    <w:lvl w:ilvl="6" w:tplc="82E87BCE" w:tentative="1">
      <w:start w:val="1"/>
      <w:numFmt w:val="bullet"/>
      <w:lvlText w:val=""/>
      <w:lvlJc w:val="left"/>
      <w:pPr>
        <w:tabs>
          <w:tab w:val="num" w:pos="5400"/>
        </w:tabs>
        <w:ind w:left="5400" w:hanging="360"/>
      </w:pPr>
      <w:rPr>
        <w:rFonts w:ascii="Symbol" w:hAnsi="Symbol" w:hint="default"/>
      </w:rPr>
    </w:lvl>
    <w:lvl w:ilvl="7" w:tplc="05F04778" w:tentative="1">
      <w:start w:val="1"/>
      <w:numFmt w:val="bullet"/>
      <w:lvlText w:val="o"/>
      <w:lvlJc w:val="left"/>
      <w:pPr>
        <w:tabs>
          <w:tab w:val="num" w:pos="6120"/>
        </w:tabs>
        <w:ind w:left="6120" w:hanging="360"/>
      </w:pPr>
      <w:rPr>
        <w:rFonts w:ascii="Courier New" w:hAnsi="Courier New" w:hint="default"/>
      </w:rPr>
    </w:lvl>
    <w:lvl w:ilvl="8" w:tplc="36DCF4C6" w:tentative="1">
      <w:start w:val="1"/>
      <w:numFmt w:val="bullet"/>
      <w:lvlText w:val=""/>
      <w:lvlJc w:val="left"/>
      <w:pPr>
        <w:tabs>
          <w:tab w:val="num" w:pos="6840"/>
        </w:tabs>
        <w:ind w:left="6840" w:hanging="360"/>
      </w:pPr>
      <w:rPr>
        <w:rFonts w:ascii="Wingdings" w:hAnsi="Wingdings" w:hint="default"/>
      </w:rPr>
    </w:lvl>
  </w:abstractNum>
  <w:abstractNum w:abstractNumId="21">
    <w:nsid w:val="58BA31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C987A84"/>
    <w:multiLevelType w:val="hybridMultilevel"/>
    <w:tmpl w:val="FA0C49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63032B3A"/>
    <w:multiLevelType w:val="hybridMultilevel"/>
    <w:tmpl w:val="2C588FD6"/>
    <w:lvl w:ilvl="0" w:tplc="04250001">
      <w:start w:val="1"/>
      <w:numFmt w:val="decimal"/>
      <w:lvlText w:val="%1."/>
      <w:lvlJc w:val="left"/>
      <w:pPr>
        <w:ind w:left="720" w:hanging="360"/>
      </w:pPr>
    </w:lvl>
    <w:lvl w:ilvl="1" w:tplc="04250003">
      <w:start w:val="1"/>
      <w:numFmt w:val="lowerLetter"/>
      <w:lvlText w:val="%2."/>
      <w:lvlJc w:val="left"/>
      <w:pPr>
        <w:ind w:left="1440" w:hanging="360"/>
      </w:pPr>
    </w:lvl>
    <w:lvl w:ilvl="2" w:tplc="04250005">
      <w:start w:val="1"/>
      <w:numFmt w:val="lowerRoman"/>
      <w:lvlText w:val="%3."/>
      <w:lvlJc w:val="right"/>
      <w:pPr>
        <w:ind w:left="2160" w:hanging="180"/>
      </w:pPr>
    </w:lvl>
    <w:lvl w:ilvl="3" w:tplc="04250001" w:tentative="1">
      <w:start w:val="1"/>
      <w:numFmt w:val="decimal"/>
      <w:lvlText w:val="%4."/>
      <w:lvlJc w:val="left"/>
      <w:pPr>
        <w:ind w:left="2880" w:hanging="360"/>
      </w:pPr>
    </w:lvl>
    <w:lvl w:ilvl="4" w:tplc="04250003" w:tentative="1">
      <w:start w:val="1"/>
      <w:numFmt w:val="lowerLetter"/>
      <w:lvlText w:val="%5."/>
      <w:lvlJc w:val="left"/>
      <w:pPr>
        <w:ind w:left="3600" w:hanging="360"/>
      </w:pPr>
    </w:lvl>
    <w:lvl w:ilvl="5" w:tplc="04250005" w:tentative="1">
      <w:start w:val="1"/>
      <w:numFmt w:val="lowerRoman"/>
      <w:lvlText w:val="%6."/>
      <w:lvlJc w:val="right"/>
      <w:pPr>
        <w:ind w:left="4320" w:hanging="180"/>
      </w:pPr>
    </w:lvl>
    <w:lvl w:ilvl="6" w:tplc="04250001" w:tentative="1">
      <w:start w:val="1"/>
      <w:numFmt w:val="decimal"/>
      <w:lvlText w:val="%7."/>
      <w:lvlJc w:val="left"/>
      <w:pPr>
        <w:ind w:left="5040" w:hanging="360"/>
      </w:pPr>
    </w:lvl>
    <w:lvl w:ilvl="7" w:tplc="04250003" w:tentative="1">
      <w:start w:val="1"/>
      <w:numFmt w:val="lowerLetter"/>
      <w:lvlText w:val="%8."/>
      <w:lvlJc w:val="left"/>
      <w:pPr>
        <w:ind w:left="5760" w:hanging="360"/>
      </w:pPr>
    </w:lvl>
    <w:lvl w:ilvl="8" w:tplc="04250005" w:tentative="1">
      <w:start w:val="1"/>
      <w:numFmt w:val="lowerRoman"/>
      <w:lvlText w:val="%9."/>
      <w:lvlJc w:val="right"/>
      <w:pPr>
        <w:ind w:left="6480" w:hanging="180"/>
      </w:pPr>
    </w:lvl>
  </w:abstractNum>
  <w:abstractNum w:abstractNumId="24">
    <w:nsid w:val="643B091B"/>
    <w:multiLevelType w:val="multilevel"/>
    <w:tmpl w:val="2DF2E8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5AF43AD"/>
    <w:multiLevelType w:val="hybridMultilevel"/>
    <w:tmpl w:val="A11650E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6C61169D"/>
    <w:multiLevelType w:val="hybridMultilevel"/>
    <w:tmpl w:val="99DAAA60"/>
    <w:lvl w:ilvl="0" w:tplc="0425000F">
      <w:start w:val="1"/>
      <w:numFmt w:val="bullet"/>
      <w:lvlText w:val=""/>
      <w:lvlJc w:val="left"/>
      <w:pPr>
        <w:ind w:left="720" w:hanging="360"/>
      </w:pPr>
      <w:rPr>
        <w:rFonts w:ascii="Symbol" w:hAnsi="Symbol" w:hint="default"/>
      </w:rPr>
    </w:lvl>
    <w:lvl w:ilvl="1" w:tplc="04250019" w:tentative="1">
      <w:start w:val="1"/>
      <w:numFmt w:val="bullet"/>
      <w:lvlText w:val="o"/>
      <w:lvlJc w:val="left"/>
      <w:pPr>
        <w:ind w:left="1440" w:hanging="360"/>
      </w:pPr>
      <w:rPr>
        <w:rFonts w:ascii="Courier New" w:hAnsi="Courier New" w:hint="default"/>
      </w:rPr>
    </w:lvl>
    <w:lvl w:ilvl="2" w:tplc="0425001B" w:tentative="1">
      <w:start w:val="1"/>
      <w:numFmt w:val="bullet"/>
      <w:lvlText w:val=""/>
      <w:lvlJc w:val="left"/>
      <w:pPr>
        <w:ind w:left="2160" w:hanging="360"/>
      </w:pPr>
      <w:rPr>
        <w:rFonts w:ascii="Wingdings" w:hAnsi="Wingdings" w:hint="default"/>
      </w:rPr>
    </w:lvl>
    <w:lvl w:ilvl="3" w:tplc="0425000F" w:tentative="1">
      <w:start w:val="1"/>
      <w:numFmt w:val="bullet"/>
      <w:lvlText w:val=""/>
      <w:lvlJc w:val="left"/>
      <w:pPr>
        <w:ind w:left="2880" w:hanging="360"/>
      </w:pPr>
      <w:rPr>
        <w:rFonts w:ascii="Symbol" w:hAnsi="Symbol" w:hint="default"/>
      </w:rPr>
    </w:lvl>
    <w:lvl w:ilvl="4" w:tplc="04250019" w:tentative="1">
      <w:start w:val="1"/>
      <w:numFmt w:val="bullet"/>
      <w:lvlText w:val="o"/>
      <w:lvlJc w:val="left"/>
      <w:pPr>
        <w:ind w:left="3600" w:hanging="360"/>
      </w:pPr>
      <w:rPr>
        <w:rFonts w:ascii="Courier New" w:hAnsi="Courier New" w:hint="default"/>
      </w:rPr>
    </w:lvl>
    <w:lvl w:ilvl="5" w:tplc="0425001B" w:tentative="1">
      <w:start w:val="1"/>
      <w:numFmt w:val="bullet"/>
      <w:lvlText w:val=""/>
      <w:lvlJc w:val="left"/>
      <w:pPr>
        <w:ind w:left="4320" w:hanging="360"/>
      </w:pPr>
      <w:rPr>
        <w:rFonts w:ascii="Wingdings" w:hAnsi="Wingdings" w:hint="default"/>
      </w:rPr>
    </w:lvl>
    <w:lvl w:ilvl="6" w:tplc="0425000F" w:tentative="1">
      <w:start w:val="1"/>
      <w:numFmt w:val="bullet"/>
      <w:lvlText w:val=""/>
      <w:lvlJc w:val="left"/>
      <w:pPr>
        <w:ind w:left="5040" w:hanging="360"/>
      </w:pPr>
      <w:rPr>
        <w:rFonts w:ascii="Symbol" w:hAnsi="Symbol" w:hint="default"/>
      </w:rPr>
    </w:lvl>
    <w:lvl w:ilvl="7" w:tplc="04250019" w:tentative="1">
      <w:start w:val="1"/>
      <w:numFmt w:val="bullet"/>
      <w:lvlText w:val="o"/>
      <w:lvlJc w:val="left"/>
      <w:pPr>
        <w:ind w:left="5760" w:hanging="360"/>
      </w:pPr>
      <w:rPr>
        <w:rFonts w:ascii="Courier New" w:hAnsi="Courier New" w:hint="default"/>
      </w:rPr>
    </w:lvl>
    <w:lvl w:ilvl="8" w:tplc="0425001B" w:tentative="1">
      <w:start w:val="1"/>
      <w:numFmt w:val="bullet"/>
      <w:lvlText w:val=""/>
      <w:lvlJc w:val="left"/>
      <w:pPr>
        <w:ind w:left="6480" w:hanging="360"/>
      </w:pPr>
      <w:rPr>
        <w:rFonts w:ascii="Wingdings" w:hAnsi="Wingdings" w:hint="default"/>
      </w:rPr>
    </w:lvl>
  </w:abstractNum>
  <w:abstractNum w:abstractNumId="27">
    <w:nsid w:val="6ED072AD"/>
    <w:multiLevelType w:val="hybridMultilevel"/>
    <w:tmpl w:val="62D4C3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7015198C"/>
    <w:multiLevelType w:val="multilevel"/>
    <w:tmpl w:val="B03EC44C"/>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1B62007"/>
    <w:multiLevelType w:val="hybridMultilevel"/>
    <w:tmpl w:val="BE844C7E"/>
    <w:lvl w:ilvl="0" w:tplc="CA802BAA">
      <w:start w:val="1"/>
      <w:numFmt w:val="bullet"/>
      <w:lvlText w:val=""/>
      <w:lvlJc w:val="left"/>
      <w:pPr>
        <w:ind w:left="720" w:hanging="360"/>
      </w:pPr>
      <w:rPr>
        <w:rFonts w:ascii="Symbol" w:hAnsi="Symbol" w:hint="default"/>
      </w:rPr>
    </w:lvl>
    <w:lvl w:ilvl="1" w:tplc="69A8CDE8" w:tentative="1">
      <w:start w:val="1"/>
      <w:numFmt w:val="bullet"/>
      <w:lvlText w:val="o"/>
      <w:lvlJc w:val="left"/>
      <w:pPr>
        <w:ind w:left="1440" w:hanging="360"/>
      </w:pPr>
      <w:rPr>
        <w:rFonts w:ascii="Courier New" w:hAnsi="Courier New" w:hint="default"/>
      </w:rPr>
    </w:lvl>
    <w:lvl w:ilvl="2" w:tplc="DD30231C" w:tentative="1">
      <w:start w:val="1"/>
      <w:numFmt w:val="bullet"/>
      <w:lvlText w:val=""/>
      <w:lvlJc w:val="left"/>
      <w:pPr>
        <w:ind w:left="2160" w:hanging="360"/>
      </w:pPr>
      <w:rPr>
        <w:rFonts w:ascii="Wingdings" w:hAnsi="Wingdings" w:hint="default"/>
      </w:rPr>
    </w:lvl>
    <w:lvl w:ilvl="3" w:tplc="76088584" w:tentative="1">
      <w:start w:val="1"/>
      <w:numFmt w:val="bullet"/>
      <w:lvlText w:val=""/>
      <w:lvlJc w:val="left"/>
      <w:pPr>
        <w:ind w:left="2880" w:hanging="360"/>
      </w:pPr>
      <w:rPr>
        <w:rFonts w:ascii="Symbol" w:hAnsi="Symbol" w:hint="default"/>
      </w:rPr>
    </w:lvl>
    <w:lvl w:ilvl="4" w:tplc="9DF8A494" w:tentative="1">
      <w:start w:val="1"/>
      <w:numFmt w:val="bullet"/>
      <w:lvlText w:val="o"/>
      <w:lvlJc w:val="left"/>
      <w:pPr>
        <w:ind w:left="3600" w:hanging="360"/>
      </w:pPr>
      <w:rPr>
        <w:rFonts w:ascii="Courier New" w:hAnsi="Courier New" w:hint="default"/>
      </w:rPr>
    </w:lvl>
    <w:lvl w:ilvl="5" w:tplc="31469FAE" w:tentative="1">
      <w:start w:val="1"/>
      <w:numFmt w:val="bullet"/>
      <w:lvlText w:val=""/>
      <w:lvlJc w:val="left"/>
      <w:pPr>
        <w:ind w:left="4320" w:hanging="360"/>
      </w:pPr>
      <w:rPr>
        <w:rFonts w:ascii="Wingdings" w:hAnsi="Wingdings" w:hint="default"/>
      </w:rPr>
    </w:lvl>
    <w:lvl w:ilvl="6" w:tplc="4992DAC6" w:tentative="1">
      <w:start w:val="1"/>
      <w:numFmt w:val="bullet"/>
      <w:lvlText w:val=""/>
      <w:lvlJc w:val="left"/>
      <w:pPr>
        <w:ind w:left="5040" w:hanging="360"/>
      </w:pPr>
      <w:rPr>
        <w:rFonts w:ascii="Symbol" w:hAnsi="Symbol" w:hint="default"/>
      </w:rPr>
    </w:lvl>
    <w:lvl w:ilvl="7" w:tplc="5AF6F28E" w:tentative="1">
      <w:start w:val="1"/>
      <w:numFmt w:val="bullet"/>
      <w:lvlText w:val="o"/>
      <w:lvlJc w:val="left"/>
      <w:pPr>
        <w:ind w:left="5760" w:hanging="360"/>
      </w:pPr>
      <w:rPr>
        <w:rFonts w:ascii="Courier New" w:hAnsi="Courier New" w:hint="default"/>
      </w:rPr>
    </w:lvl>
    <w:lvl w:ilvl="8" w:tplc="CA720772" w:tentative="1">
      <w:start w:val="1"/>
      <w:numFmt w:val="bullet"/>
      <w:lvlText w:val=""/>
      <w:lvlJc w:val="left"/>
      <w:pPr>
        <w:ind w:left="6480" w:hanging="360"/>
      </w:pPr>
      <w:rPr>
        <w:rFonts w:ascii="Wingdings" w:hAnsi="Wingdings" w:hint="default"/>
      </w:rPr>
    </w:lvl>
  </w:abstractNum>
  <w:abstractNum w:abstractNumId="30">
    <w:nsid w:val="73A3064F"/>
    <w:multiLevelType w:val="hybridMultilevel"/>
    <w:tmpl w:val="6B2C1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764C1B13"/>
    <w:multiLevelType w:val="multilevel"/>
    <w:tmpl w:val="78C486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728075A"/>
    <w:multiLevelType w:val="multilevel"/>
    <w:tmpl w:val="042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9F75443"/>
    <w:multiLevelType w:val="multilevel"/>
    <w:tmpl w:val="042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4"/>
  </w:num>
  <w:num w:numId="2">
    <w:abstractNumId w:val="9"/>
  </w:num>
  <w:num w:numId="3">
    <w:abstractNumId w:val="30"/>
  </w:num>
  <w:num w:numId="4">
    <w:abstractNumId w:val="16"/>
  </w:num>
  <w:num w:numId="5">
    <w:abstractNumId w:val="14"/>
  </w:num>
  <w:num w:numId="6">
    <w:abstractNumId w:val="15"/>
  </w:num>
  <w:num w:numId="7">
    <w:abstractNumId w:val="23"/>
  </w:num>
  <w:num w:numId="8">
    <w:abstractNumId w:val="31"/>
  </w:num>
  <w:num w:numId="9">
    <w:abstractNumId w:val="19"/>
  </w:num>
  <w:num w:numId="10">
    <w:abstractNumId w:val="22"/>
  </w:num>
  <w:num w:numId="11">
    <w:abstractNumId w:val="3"/>
  </w:num>
  <w:num w:numId="12">
    <w:abstractNumId w:val="26"/>
  </w:num>
  <w:num w:numId="13">
    <w:abstractNumId w:val="12"/>
  </w:num>
  <w:num w:numId="14">
    <w:abstractNumId w:val="29"/>
  </w:num>
  <w:num w:numId="15">
    <w:abstractNumId w:val="32"/>
  </w:num>
  <w:num w:numId="16">
    <w:abstractNumId w:val="17"/>
  </w:num>
  <w:num w:numId="17">
    <w:abstractNumId w:val="0"/>
  </w:num>
  <w:num w:numId="18">
    <w:abstractNumId w:val="1"/>
  </w:num>
  <w:num w:numId="19">
    <w:abstractNumId w:val="33"/>
  </w:num>
  <w:num w:numId="20">
    <w:abstractNumId w:val="27"/>
  </w:num>
  <w:num w:numId="21">
    <w:abstractNumId w:val="5"/>
  </w:num>
  <w:num w:numId="22">
    <w:abstractNumId w:val="25"/>
  </w:num>
  <w:num w:numId="23">
    <w:abstractNumId w:val="7"/>
  </w:num>
  <w:num w:numId="24">
    <w:abstractNumId w:val="9"/>
    <w:lvlOverride w:ilvl="0">
      <w:startOverride w:val="8"/>
    </w:lvlOverride>
    <w:lvlOverride w:ilvl="1">
      <w:startOverride w:val="2"/>
    </w:lvlOverride>
  </w:num>
  <w:num w:numId="25">
    <w:abstractNumId w:val="9"/>
  </w:num>
  <w:num w:numId="26">
    <w:abstractNumId w:val="11"/>
  </w:num>
  <w:num w:numId="27">
    <w:abstractNumId w:val="8"/>
  </w:num>
  <w:num w:numId="28">
    <w:abstractNumId w:val="9"/>
    <w:lvlOverride w:ilvl="0">
      <w:startOverride w:val="10"/>
    </w:lvlOverride>
  </w:num>
  <w:num w:numId="29">
    <w:abstractNumId w:val="10"/>
  </w:num>
  <w:num w:numId="30">
    <w:abstractNumId w:val="28"/>
  </w:num>
  <w:num w:numId="31">
    <w:abstractNumId w:val="4"/>
  </w:num>
  <w:num w:numId="32">
    <w:abstractNumId w:val="18"/>
  </w:num>
  <w:num w:numId="33">
    <w:abstractNumId w:val="21"/>
  </w:num>
  <w:num w:numId="34">
    <w:abstractNumId w:val="20"/>
  </w:num>
  <w:num w:numId="35">
    <w:abstractNumId w:val="6"/>
  </w:num>
  <w:num w:numId="36">
    <w:abstractNumId w:val="13"/>
  </w:num>
  <w:num w:numId="37">
    <w:abstractNumId w:val="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F6B9E"/>
    <w:rsid w:val="00040FEF"/>
    <w:rsid w:val="00043132"/>
    <w:rsid w:val="000A3759"/>
    <w:rsid w:val="00102B73"/>
    <w:rsid w:val="00104725"/>
    <w:rsid w:val="00171FA4"/>
    <w:rsid w:val="001C3545"/>
    <w:rsid w:val="001D75D5"/>
    <w:rsid w:val="001F2450"/>
    <w:rsid w:val="00213C5B"/>
    <w:rsid w:val="002350D5"/>
    <w:rsid w:val="00245087"/>
    <w:rsid w:val="002B1BAE"/>
    <w:rsid w:val="002C64DE"/>
    <w:rsid w:val="002D486B"/>
    <w:rsid w:val="002D6639"/>
    <w:rsid w:val="00314876"/>
    <w:rsid w:val="00326017"/>
    <w:rsid w:val="003A1052"/>
    <w:rsid w:val="003E472A"/>
    <w:rsid w:val="00411098"/>
    <w:rsid w:val="0047107C"/>
    <w:rsid w:val="004806C2"/>
    <w:rsid w:val="00510F17"/>
    <w:rsid w:val="005512DC"/>
    <w:rsid w:val="005B12D9"/>
    <w:rsid w:val="005C6830"/>
    <w:rsid w:val="00633C7B"/>
    <w:rsid w:val="00651E5F"/>
    <w:rsid w:val="00655695"/>
    <w:rsid w:val="00662FC5"/>
    <w:rsid w:val="006A5F45"/>
    <w:rsid w:val="007137C8"/>
    <w:rsid w:val="00793F81"/>
    <w:rsid w:val="007D650B"/>
    <w:rsid w:val="007D681D"/>
    <w:rsid w:val="00842B63"/>
    <w:rsid w:val="00876569"/>
    <w:rsid w:val="008E2539"/>
    <w:rsid w:val="008F3512"/>
    <w:rsid w:val="00950ADB"/>
    <w:rsid w:val="0097671E"/>
    <w:rsid w:val="00986895"/>
    <w:rsid w:val="00A20F8C"/>
    <w:rsid w:val="00A55DB4"/>
    <w:rsid w:val="00A71058"/>
    <w:rsid w:val="00A72C21"/>
    <w:rsid w:val="00A73EDB"/>
    <w:rsid w:val="00A756AE"/>
    <w:rsid w:val="00A95522"/>
    <w:rsid w:val="00AA2DFD"/>
    <w:rsid w:val="00B04D05"/>
    <w:rsid w:val="00B264B9"/>
    <w:rsid w:val="00B62A34"/>
    <w:rsid w:val="00B76673"/>
    <w:rsid w:val="00BF6B9E"/>
    <w:rsid w:val="00C00DE9"/>
    <w:rsid w:val="00C03F6E"/>
    <w:rsid w:val="00C2388F"/>
    <w:rsid w:val="00C93928"/>
    <w:rsid w:val="00C9486C"/>
    <w:rsid w:val="00CA54D6"/>
    <w:rsid w:val="00CC3A2A"/>
    <w:rsid w:val="00CE0E94"/>
    <w:rsid w:val="00CE7598"/>
    <w:rsid w:val="00D03630"/>
    <w:rsid w:val="00D0542B"/>
    <w:rsid w:val="00D51AE5"/>
    <w:rsid w:val="00D6001B"/>
    <w:rsid w:val="00DA4C31"/>
    <w:rsid w:val="00DD05D8"/>
    <w:rsid w:val="00E71E0B"/>
    <w:rsid w:val="00E9034F"/>
    <w:rsid w:val="00E932DD"/>
    <w:rsid w:val="00F36C28"/>
    <w:rsid w:val="00F43B8E"/>
    <w:rsid w:val="00FA341D"/>
    <w:rsid w:val="00FE73E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DE"/>
  </w:style>
  <w:style w:type="paragraph" w:styleId="Heading1">
    <w:name w:val="heading 1"/>
    <w:basedOn w:val="Normal"/>
    <w:next w:val="Normal"/>
    <w:link w:val="Heading1Char"/>
    <w:uiPriority w:val="9"/>
    <w:qFormat/>
    <w:rsid w:val="00BF6B9E"/>
    <w:pPr>
      <w:keepNext/>
      <w:keepLines/>
      <w:numPr>
        <w:numId w:val="3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B9E"/>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6B9E"/>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6B9E"/>
    <w:pPr>
      <w:keepNext/>
      <w:keepLines/>
      <w:numPr>
        <w:ilvl w:val="3"/>
        <w:numId w:val="3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6B9E"/>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6B9E"/>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6B9E"/>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6B9E"/>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6B9E"/>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B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6B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6B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6B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6B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6B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6B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6B9E"/>
    <w:rPr>
      <w:rFonts w:asciiTheme="majorHAnsi" w:eastAsiaTheme="majorEastAsia" w:hAnsiTheme="majorHAnsi" w:cstheme="majorBidi"/>
      <w:i/>
      <w:iCs/>
      <w:color w:val="404040" w:themeColor="text1" w:themeTint="BF"/>
      <w:sz w:val="20"/>
      <w:szCs w:val="20"/>
    </w:rPr>
  </w:style>
  <w:style w:type="character" w:customStyle="1" w:styleId="pealkiri3">
    <w:name w:val="pealkiri3"/>
    <w:basedOn w:val="DefaultParagraphFont"/>
    <w:rsid w:val="007137C8"/>
  </w:style>
  <w:style w:type="character" w:styleId="Hyperlink">
    <w:name w:val="Hyperlink"/>
    <w:basedOn w:val="DefaultParagraphFont"/>
    <w:uiPriority w:val="99"/>
    <w:unhideWhenUsed/>
    <w:rsid w:val="007137C8"/>
    <w:rPr>
      <w:color w:val="0000FF" w:themeColor="hyperlink"/>
      <w:u w:val="single"/>
    </w:rPr>
  </w:style>
  <w:style w:type="paragraph" w:styleId="FootnoteText">
    <w:name w:val="footnote text"/>
    <w:basedOn w:val="Normal"/>
    <w:link w:val="FootnoteTextChar"/>
    <w:uiPriority w:val="99"/>
    <w:rsid w:val="007D650B"/>
    <w:pPr>
      <w:spacing w:after="0" w:line="240" w:lineRule="auto"/>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7D650B"/>
    <w:rPr>
      <w:rFonts w:ascii="Calibri" w:eastAsia="Times New Roman" w:hAnsi="Calibri" w:cs="Times New Roman"/>
      <w:sz w:val="20"/>
      <w:szCs w:val="20"/>
      <w:lang w:eastAsia="et-EE"/>
    </w:rPr>
  </w:style>
  <w:style w:type="character" w:styleId="FootnoteReference">
    <w:name w:val="footnote reference"/>
    <w:basedOn w:val="DefaultParagraphFont"/>
    <w:uiPriority w:val="99"/>
    <w:rsid w:val="007D650B"/>
    <w:rPr>
      <w:rFonts w:cs="Times New Roman"/>
      <w:vertAlign w:val="superscript"/>
    </w:rPr>
  </w:style>
  <w:style w:type="paragraph" w:styleId="BodyText">
    <w:name w:val="Body Text"/>
    <w:basedOn w:val="Normal"/>
    <w:link w:val="BodyTextChar1"/>
    <w:uiPriority w:val="99"/>
    <w:rsid w:val="007D650B"/>
    <w:pPr>
      <w:spacing w:after="120" w:line="240" w:lineRule="auto"/>
      <w:jc w:val="both"/>
    </w:pPr>
    <w:rPr>
      <w:rFonts w:ascii="Calibri" w:eastAsia="Times New Roman" w:hAnsi="Calibri" w:cs="Times New Roman"/>
      <w:sz w:val="24"/>
      <w:szCs w:val="24"/>
    </w:rPr>
  </w:style>
  <w:style w:type="character" w:customStyle="1" w:styleId="BodyTextChar">
    <w:name w:val="Body Text Char"/>
    <w:basedOn w:val="DefaultParagraphFont"/>
    <w:uiPriority w:val="99"/>
    <w:semiHidden/>
    <w:rsid w:val="007D650B"/>
  </w:style>
  <w:style w:type="character" w:customStyle="1" w:styleId="BodyTextChar1">
    <w:name w:val="Body Text Char1"/>
    <w:link w:val="BodyText"/>
    <w:uiPriority w:val="99"/>
    <w:locked/>
    <w:rsid w:val="007D650B"/>
    <w:rPr>
      <w:rFonts w:ascii="Calibri" w:eastAsia="Times New Roman" w:hAnsi="Calibri" w:cs="Times New Roman"/>
      <w:sz w:val="24"/>
      <w:szCs w:val="24"/>
      <w:lang w:eastAsia="et-EE"/>
    </w:rPr>
  </w:style>
  <w:style w:type="paragraph" w:customStyle="1" w:styleId="Keha1">
    <w:name w:val="Keha1"/>
    <w:basedOn w:val="BodyText"/>
    <w:next w:val="BodyText"/>
    <w:link w:val="Keha1Mrk"/>
    <w:qFormat/>
    <w:rsid w:val="007D650B"/>
    <w:rPr>
      <w:lang w:eastAsia="en-US"/>
    </w:rPr>
  </w:style>
  <w:style w:type="character" w:customStyle="1" w:styleId="Keha1Mrk">
    <w:name w:val="Keha1 Märk"/>
    <w:link w:val="Keha1"/>
    <w:locked/>
    <w:rsid w:val="007D650B"/>
    <w:rPr>
      <w:rFonts w:ascii="Calibri" w:eastAsia="Times New Roman" w:hAnsi="Calibri" w:cs="Times New Roman"/>
      <w:sz w:val="24"/>
      <w:szCs w:val="24"/>
    </w:rPr>
  </w:style>
  <w:style w:type="paragraph" w:styleId="ListParagraph">
    <w:name w:val="List Paragraph"/>
    <w:basedOn w:val="Normal"/>
    <w:uiPriority w:val="99"/>
    <w:qFormat/>
    <w:rsid w:val="007D650B"/>
    <w:pPr>
      <w:spacing w:after="0" w:line="240" w:lineRule="auto"/>
      <w:ind w:left="720"/>
      <w:contextualSpacing/>
      <w:jc w:val="both"/>
    </w:pPr>
    <w:rPr>
      <w:rFonts w:ascii="Calibri" w:eastAsia="Times New Roman" w:hAnsi="Calibri" w:cs="Times New Roman"/>
      <w:sz w:val="24"/>
      <w:szCs w:val="24"/>
    </w:rPr>
  </w:style>
  <w:style w:type="paragraph" w:customStyle="1" w:styleId="StyleVerdana12ptJustified1">
    <w:name w:val="Style Verdana 12 pt Justified1"/>
    <w:basedOn w:val="Normal"/>
    <w:rsid w:val="00D0542B"/>
    <w:pPr>
      <w:spacing w:after="0" w:line="240" w:lineRule="auto"/>
      <w:jc w:val="both"/>
    </w:pPr>
    <w:rPr>
      <w:rFonts w:ascii="Verdana" w:eastAsia="Times New Roman" w:hAnsi="Verdana" w:cs="Times New Roman"/>
      <w:szCs w:val="20"/>
    </w:rPr>
  </w:style>
  <w:style w:type="paragraph" w:styleId="BodyTextIndent2">
    <w:name w:val="Body Text Indent 2"/>
    <w:basedOn w:val="Normal"/>
    <w:link w:val="BodyTextIndent2Char"/>
    <w:uiPriority w:val="99"/>
    <w:semiHidden/>
    <w:unhideWhenUsed/>
    <w:rsid w:val="002D6639"/>
    <w:pPr>
      <w:spacing w:after="120" w:line="480" w:lineRule="auto"/>
      <w:ind w:left="283"/>
    </w:pPr>
  </w:style>
  <w:style w:type="character" w:customStyle="1" w:styleId="BodyTextIndent2Char">
    <w:name w:val="Body Text Indent 2 Char"/>
    <w:basedOn w:val="DefaultParagraphFont"/>
    <w:link w:val="BodyTextIndent2"/>
    <w:uiPriority w:val="99"/>
    <w:semiHidden/>
    <w:rsid w:val="002D6639"/>
  </w:style>
  <w:style w:type="paragraph" w:styleId="BodyText2">
    <w:name w:val="Body Text 2"/>
    <w:basedOn w:val="Normal"/>
    <w:link w:val="BodyText2Char"/>
    <w:uiPriority w:val="99"/>
    <w:unhideWhenUsed/>
    <w:rsid w:val="002D6639"/>
    <w:pPr>
      <w:spacing w:after="120" w:line="480" w:lineRule="auto"/>
    </w:pPr>
  </w:style>
  <w:style w:type="character" w:customStyle="1" w:styleId="BodyText2Char">
    <w:name w:val="Body Text 2 Char"/>
    <w:basedOn w:val="DefaultParagraphFont"/>
    <w:link w:val="BodyText2"/>
    <w:uiPriority w:val="99"/>
    <w:rsid w:val="002D6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BF6B9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BF6B9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BF6B9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semiHidden/>
    <w:unhideWhenUsed/>
    <w:qFormat/>
    <w:rsid w:val="00BF6B9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uiPriority w:val="9"/>
    <w:semiHidden/>
    <w:unhideWhenUsed/>
    <w:qFormat/>
    <w:rsid w:val="00BF6B9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Pealkiri6">
    <w:name w:val="heading 6"/>
    <w:basedOn w:val="Normaallaad"/>
    <w:next w:val="Normaallaad"/>
    <w:link w:val="Pealkiri6Mrk"/>
    <w:uiPriority w:val="9"/>
    <w:semiHidden/>
    <w:unhideWhenUsed/>
    <w:qFormat/>
    <w:rsid w:val="00BF6B9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Pealkiri7">
    <w:name w:val="heading 7"/>
    <w:basedOn w:val="Normaallaad"/>
    <w:next w:val="Normaallaad"/>
    <w:link w:val="Pealkiri7Mrk"/>
    <w:uiPriority w:val="9"/>
    <w:semiHidden/>
    <w:unhideWhenUsed/>
    <w:qFormat/>
    <w:rsid w:val="00BF6B9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Pealkiri8">
    <w:name w:val="heading 8"/>
    <w:basedOn w:val="Normaallaad"/>
    <w:next w:val="Normaallaad"/>
    <w:link w:val="Pealkiri8Mrk"/>
    <w:uiPriority w:val="9"/>
    <w:semiHidden/>
    <w:unhideWhenUsed/>
    <w:qFormat/>
    <w:rsid w:val="00BF6B9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Pealkiri9">
    <w:name w:val="heading 9"/>
    <w:basedOn w:val="Normaallaad"/>
    <w:next w:val="Normaallaad"/>
    <w:link w:val="Pealkiri9Mrk"/>
    <w:uiPriority w:val="9"/>
    <w:semiHidden/>
    <w:unhideWhenUsed/>
    <w:qFormat/>
    <w:rsid w:val="00BF6B9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F6B9E"/>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BF6B9E"/>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semiHidden/>
    <w:rsid w:val="00BF6B9E"/>
    <w:rPr>
      <w:rFonts w:asciiTheme="majorHAnsi" w:eastAsiaTheme="majorEastAsia" w:hAnsiTheme="majorHAnsi" w:cstheme="majorBidi"/>
      <w:b/>
      <w:bCs/>
      <w:color w:val="4F81BD" w:themeColor="accent1"/>
    </w:rPr>
  </w:style>
  <w:style w:type="character" w:customStyle="1" w:styleId="Pealkiri4Mrk">
    <w:name w:val="Pealkiri 4 Märk"/>
    <w:basedOn w:val="Liguvaikefont"/>
    <w:link w:val="Pealkiri4"/>
    <w:uiPriority w:val="9"/>
    <w:semiHidden/>
    <w:rsid w:val="00BF6B9E"/>
    <w:rPr>
      <w:rFonts w:asciiTheme="majorHAnsi" w:eastAsiaTheme="majorEastAsia" w:hAnsiTheme="majorHAnsi" w:cstheme="majorBidi"/>
      <w:b/>
      <w:bCs/>
      <w:i/>
      <w:iCs/>
      <w:color w:val="4F81BD" w:themeColor="accent1"/>
    </w:rPr>
  </w:style>
  <w:style w:type="character" w:customStyle="1" w:styleId="Pealkiri5Mrk">
    <w:name w:val="Pealkiri 5 Märk"/>
    <w:basedOn w:val="Liguvaikefont"/>
    <w:link w:val="Pealkiri5"/>
    <w:uiPriority w:val="9"/>
    <w:semiHidden/>
    <w:rsid w:val="00BF6B9E"/>
    <w:rPr>
      <w:rFonts w:asciiTheme="majorHAnsi" w:eastAsiaTheme="majorEastAsia" w:hAnsiTheme="majorHAnsi" w:cstheme="majorBidi"/>
      <w:color w:val="243F60" w:themeColor="accent1" w:themeShade="7F"/>
    </w:rPr>
  </w:style>
  <w:style w:type="character" w:customStyle="1" w:styleId="Pealkiri6Mrk">
    <w:name w:val="Pealkiri 6 Märk"/>
    <w:basedOn w:val="Liguvaikefont"/>
    <w:link w:val="Pealkiri6"/>
    <w:uiPriority w:val="9"/>
    <w:semiHidden/>
    <w:rsid w:val="00BF6B9E"/>
    <w:rPr>
      <w:rFonts w:asciiTheme="majorHAnsi" w:eastAsiaTheme="majorEastAsia" w:hAnsiTheme="majorHAnsi" w:cstheme="majorBidi"/>
      <w:i/>
      <w:iCs/>
      <w:color w:val="243F60" w:themeColor="accent1" w:themeShade="7F"/>
    </w:rPr>
  </w:style>
  <w:style w:type="character" w:customStyle="1" w:styleId="Pealkiri7Mrk">
    <w:name w:val="Pealkiri 7 Märk"/>
    <w:basedOn w:val="Liguvaikefont"/>
    <w:link w:val="Pealkiri7"/>
    <w:uiPriority w:val="9"/>
    <w:semiHidden/>
    <w:rsid w:val="00BF6B9E"/>
    <w:rPr>
      <w:rFonts w:asciiTheme="majorHAnsi" w:eastAsiaTheme="majorEastAsia" w:hAnsiTheme="majorHAnsi" w:cstheme="majorBidi"/>
      <w:i/>
      <w:iCs/>
      <w:color w:val="404040" w:themeColor="text1" w:themeTint="BF"/>
    </w:rPr>
  </w:style>
  <w:style w:type="character" w:customStyle="1" w:styleId="Pealkiri8Mrk">
    <w:name w:val="Pealkiri 8 Märk"/>
    <w:basedOn w:val="Liguvaikefont"/>
    <w:link w:val="Pealkiri8"/>
    <w:uiPriority w:val="9"/>
    <w:semiHidden/>
    <w:rsid w:val="00BF6B9E"/>
    <w:rPr>
      <w:rFonts w:asciiTheme="majorHAnsi" w:eastAsiaTheme="majorEastAsia" w:hAnsiTheme="majorHAnsi" w:cstheme="majorBidi"/>
      <w:color w:val="404040" w:themeColor="text1" w:themeTint="BF"/>
      <w:sz w:val="20"/>
      <w:szCs w:val="20"/>
    </w:rPr>
  </w:style>
  <w:style w:type="character" w:customStyle="1" w:styleId="Pealkiri9Mrk">
    <w:name w:val="Pealkiri 9 Märk"/>
    <w:basedOn w:val="Liguvaikefont"/>
    <w:link w:val="Pealkiri9"/>
    <w:uiPriority w:val="9"/>
    <w:semiHidden/>
    <w:rsid w:val="00BF6B9E"/>
    <w:rPr>
      <w:rFonts w:asciiTheme="majorHAnsi" w:eastAsiaTheme="majorEastAsia" w:hAnsiTheme="majorHAnsi" w:cstheme="majorBidi"/>
      <w:i/>
      <w:iCs/>
      <w:color w:val="404040" w:themeColor="text1" w:themeTint="BF"/>
      <w:sz w:val="20"/>
      <w:szCs w:val="20"/>
    </w:rPr>
  </w:style>
  <w:style w:type="character" w:customStyle="1" w:styleId="pealkiri30">
    <w:name w:val="pealkiri3"/>
    <w:basedOn w:val="Liguvaikefont"/>
    <w:rsid w:val="007137C8"/>
  </w:style>
  <w:style w:type="character" w:styleId="Hperlink">
    <w:name w:val="Hyperlink"/>
    <w:basedOn w:val="Liguvaikefont"/>
    <w:uiPriority w:val="99"/>
    <w:unhideWhenUsed/>
    <w:rsid w:val="007137C8"/>
    <w:rPr>
      <w:color w:val="0000FF" w:themeColor="hyperlink"/>
      <w:u w:val="single"/>
    </w:rPr>
  </w:style>
  <w:style w:type="paragraph" w:styleId="Allmrkusetekst">
    <w:name w:val="footnote text"/>
    <w:basedOn w:val="Normaallaad"/>
    <w:link w:val="AllmrkusetekstMrk"/>
    <w:uiPriority w:val="99"/>
    <w:rsid w:val="007D650B"/>
    <w:pPr>
      <w:spacing w:after="0" w:line="240" w:lineRule="auto"/>
      <w:jc w:val="both"/>
    </w:pPr>
    <w:rPr>
      <w:rFonts w:ascii="Calibri" w:eastAsia="Times New Roman" w:hAnsi="Calibri" w:cs="Times New Roman"/>
      <w:sz w:val="20"/>
      <w:szCs w:val="20"/>
    </w:rPr>
  </w:style>
  <w:style w:type="character" w:customStyle="1" w:styleId="AllmrkusetekstMrk">
    <w:name w:val="Allmärkuse tekst Märk"/>
    <w:basedOn w:val="Liguvaikefont"/>
    <w:link w:val="Allmrkusetekst"/>
    <w:uiPriority w:val="99"/>
    <w:rsid w:val="007D650B"/>
    <w:rPr>
      <w:rFonts w:ascii="Calibri" w:eastAsia="Times New Roman" w:hAnsi="Calibri" w:cs="Times New Roman"/>
      <w:sz w:val="20"/>
      <w:szCs w:val="20"/>
      <w:lang w:eastAsia="et-EE"/>
    </w:rPr>
  </w:style>
  <w:style w:type="character" w:styleId="Allmrkuseviide">
    <w:name w:val="footnote reference"/>
    <w:basedOn w:val="Liguvaikefont"/>
    <w:uiPriority w:val="99"/>
    <w:rsid w:val="007D650B"/>
    <w:rPr>
      <w:rFonts w:cs="Times New Roman"/>
      <w:vertAlign w:val="superscript"/>
    </w:rPr>
  </w:style>
  <w:style w:type="paragraph" w:styleId="Kehatekst">
    <w:name w:val="Body Text"/>
    <w:basedOn w:val="Normaallaad"/>
    <w:link w:val="KehatekstMrk"/>
    <w:uiPriority w:val="99"/>
    <w:rsid w:val="007D650B"/>
    <w:pPr>
      <w:spacing w:after="120" w:line="240" w:lineRule="auto"/>
      <w:jc w:val="both"/>
    </w:pPr>
    <w:rPr>
      <w:rFonts w:ascii="Calibri" w:eastAsia="Times New Roman" w:hAnsi="Calibri" w:cs="Times New Roman"/>
      <w:sz w:val="24"/>
      <w:szCs w:val="24"/>
    </w:rPr>
  </w:style>
  <w:style w:type="character" w:customStyle="1" w:styleId="BodyTextChar">
    <w:name w:val="Body Text Char"/>
    <w:basedOn w:val="Liguvaikefont"/>
    <w:uiPriority w:val="99"/>
    <w:semiHidden/>
    <w:rsid w:val="007D650B"/>
  </w:style>
  <w:style w:type="character" w:customStyle="1" w:styleId="KehatekstMrk">
    <w:name w:val="Kehatekst Märk"/>
    <w:link w:val="Kehatekst"/>
    <w:uiPriority w:val="99"/>
    <w:locked/>
    <w:rsid w:val="007D650B"/>
    <w:rPr>
      <w:rFonts w:ascii="Calibri" w:eastAsia="Times New Roman" w:hAnsi="Calibri" w:cs="Times New Roman"/>
      <w:sz w:val="24"/>
      <w:szCs w:val="24"/>
      <w:lang w:eastAsia="et-EE"/>
    </w:rPr>
  </w:style>
  <w:style w:type="paragraph" w:customStyle="1" w:styleId="Keha1">
    <w:name w:val="Keha1"/>
    <w:basedOn w:val="Kehatekst"/>
    <w:next w:val="Kehatekst"/>
    <w:link w:val="Keha1Mrk"/>
    <w:qFormat/>
    <w:rsid w:val="007D650B"/>
    <w:rPr>
      <w:lang w:eastAsia="en-US"/>
    </w:rPr>
  </w:style>
  <w:style w:type="character" w:customStyle="1" w:styleId="Keha1Mrk">
    <w:name w:val="Keha1 Märk"/>
    <w:link w:val="Keha1"/>
    <w:locked/>
    <w:rsid w:val="007D650B"/>
    <w:rPr>
      <w:rFonts w:ascii="Calibri" w:eastAsia="Times New Roman" w:hAnsi="Calibri" w:cs="Times New Roman"/>
      <w:sz w:val="24"/>
      <w:szCs w:val="24"/>
    </w:rPr>
  </w:style>
  <w:style w:type="paragraph" w:styleId="Loendilik">
    <w:name w:val="List Paragraph"/>
    <w:basedOn w:val="Normaallaad"/>
    <w:uiPriority w:val="99"/>
    <w:qFormat/>
    <w:rsid w:val="007D650B"/>
    <w:pPr>
      <w:spacing w:after="0" w:line="240" w:lineRule="auto"/>
      <w:ind w:left="720"/>
      <w:contextualSpacing/>
      <w:jc w:val="both"/>
    </w:pPr>
    <w:rPr>
      <w:rFonts w:ascii="Calibri" w:eastAsia="Times New Roman" w:hAnsi="Calibri" w:cs="Times New Roman"/>
      <w:sz w:val="24"/>
      <w:szCs w:val="24"/>
    </w:rPr>
  </w:style>
  <w:style w:type="paragraph" w:customStyle="1" w:styleId="StyleVerdana12ptJustified1">
    <w:name w:val="Style Verdana 12 pt Justified1"/>
    <w:basedOn w:val="Normaallaad"/>
    <w:rsid w:val="00D0542B"/>
    <w:pPr>
      <w:spacing w:after="0" w:line="240" w:lineRule="auto"/>
      <w:jc w:val="both"/>
    </w:pPr>
    <w:rPr>
      <w:rFonts w:ascii="Verdana" w:eastAsia="Times New Roman" w:hAnsi="Verdana"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Kai96</b:Tag>
    <b:SourceType>Book</b:SourceType>
    <b:Guid>{AA227DF2-3420-47F6-AFBF-B4EEE53F2C8B}</b:Guid>
    <b:Author>
      <b:Author>
        <b:NameList>
          <b:Person>
            <b:Last>Kaiser</b:Last>
            <b:First>N</b:First>
          </b:Person>
        </b:NameList>
      </b:Author>
    </b:Author>
    <b:Title>Solar Energy in Architecture and Urban Planning</b:Title>
    <b:Year>1996</b:Year>
    <b:City>Berliin</b:City>
    <b:Publisher>Prestel</b:Publisher>
    <b:RefOrder>30</b:RefOrder>
  </b:Source>
</b:Sources>
</file>

<file path=customXml/itemProps1.xml><?xml version="1.0" encoding="utf-8"?>
<ds:datastoreItem xmlns:ds="http://schemas.openxmlformats.org/officeDocument/2006/customXml" ds:itemID="{8ED87B26-9C83-4B3D-90F1-4A81292F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4887</Words>
  <Characters>28346</Characters>
  <Application>Microsoft Office Word</Application>
  <DocSecurity>0</DocSecurity>
  <Lines>236</Lines>
  <Paragraphs>66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Tartu Linnavalitsus</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 Raamat</dc:creator>
  <cp:lastModifiedBy>Mati Raamat</cp:lastModifiedBy>
  <cp:revision>9</cp:revision>
  <dcterms:created xsi:type="dcterms:W3CDTF">2016-02-15T06:30:00Z</dcterms:created>
  <dcterms:modified xsi:type="dcterms:W3CDTF">2016-03-07T06:44:00Z</dcterms:modified>
</cp:coreProperties>
</file>