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03D9" w14:textId="77777777" w:rsidR="001841D7" w:rsidRPr="008C72BF" w:rsidRDefault="001841D7" w:rsidP="0038557E">
      <w:pPr>
        <w:jc w:val="both"/>
        <w:rPr>
          <w:b/>
          <w:bCs/>
        </w:rPr>
      </w:pPr>
      <w:bookmarkStart w:id="0" w:name="_Ref37132391"/>
      <w:bookmarkEnd w:id="0"/>
    </w:p>
    <w:p w14:paraId="4EAA9344" w14:textId="049302D1" w:rsidR="001841D7" w:rsidRPr="008C72BF" w:rsidRDefault="00FD05A8" w:rsidP="00FD05A8">
      <w:pPr>
        <w:jc w:val="center"/>
      </w:pPr>
      <w:r w:rsidRPr="008C72BF">
        <w:rPr>
          <w:b/>
          <w:bCs/>
        </w:rPr>
        <w:t>LEPING NR</w:t>
      </w:r>
      <w:r w:rsidR="001841D7" w:rsidRPr="008C72BF">
        <w:rPr>
          <w:b/>
          <w:bCs/>
        </w:rPr>
        <w:t xml:space="preserve">  </w:t>
      </w:r>
      <w:proofErr w:type="spellStart"/>
      <w:r w:rsidR="001841D7" w:rsidRPr="008C72BF">
        <w:rPr>
          <w:b/>
          <w:bCs/>
        </w:rPr>
        <w:t>XXXX</w:t>
      </w:r>
      <w:proofErr w:type="spellEnd"/>
    </w:p>
    <w:p w14:paraId="00E0863A" w14:textId="72923208" w:rsidR="001841D7" w:rsidRPr="008C72BF" w:rsidRDefault="00FD05A8" w:rsidP="00FD05A8">
      <w:pPr>
        <w:jc w:val="right"/>
      </w:pPr>
      <w:r w:rsidRPr="008C72BF">
        <w:t>/sõlmimise kuupäev digiallkirjas/</w:t>
      </w:r>
    </w:p>
    <w:p w14:paraId="6D965FA7" w14:textId="77777777" w:rsidR="00FD05A8" w:rsidRPr="008C72BF" w:rsidRDefault="00FD05A8" w:rsidP="00FD05A8">
      <w:pPr>
        <w:jc w:val="right"/>
      </w:pPr>
    </w:p>
    <w:p w14:paraId="408A0F79" w14:textId="77777777" w:rsidR="001841D7" w:rsidRPr="008C72BF" w:rsidRDefault="001841D7" w:rsidP="0038557E">
      <w:pPr>
        <w:jc w:val="both"/>
      </w:pPr>
      <w:r w:rsidRPr="008C72BF">
        <w:rPr>
          <w:b/>
          <w:bCs/>
        </w:rPr>
        <w:t>Eesti Kultuurkapital,</w:t>
      </w:r>
      <w:r w:rsidRPr="008C72BF">
        <w:t xml:space="preserve"> registrikoodiga 74001328 asukohaga Tallinn Suur-Karja 23, edaspidi nimetatud </w:t>
      </w:r>
      <w:r w:rsidRPr="008C72BF">
        <w:rPr>
          <w:i/>
          <w:iCs/>
        </w:rPr>
        <w:t>Kultuurkapital,</w:t>
      </w:r>
      <w:r w:rsidRPr="008C72BF">
        <w:t xml:space="preserve"> keda esindab seaduse alusel juhataja Margus Allikmaa</w:t>
      </w:r>
      <w:r w:rsidR="007D5C8F" w:rsidRPr="008C72BF">
        <w:t xml:space="preserve"> ja</w:t>
      </w:r>
    </w:p>
    <w:p w14:paraId="0B807BD7" w14:textId="77777777" w:rsidR="001841D7" w:rsidRPr="008C72BF" w:rsidRDefault="00BA5B81" w:rsidP="0038557E">
      <w:pPr>
        <w:jc w:val="both"/>
      </w:pPr>
      <w:r w:rsidRPr="008C72BF">
        <w:rPr>
          <w:b/>
          <w:bCs/>
        </w:rPr>
        <w:t>Tartu linn Tartu L</w:t>
      </w:r>
      <w:r w:rsidR="001841D7" w:rsidRPr="008C72BF">
        <w:rPr>
          <w:b/>
          <w:bCs/>
        </w:rPr>
        <w:t>innavalitsuse kaudu</w:t>
      </w:r>
      <w:r w:rsidR="001841D7" w:rsidRPr="008C72BF">
        <w:t>, registrikoodiga</w:t>
      </w:r>
      <w:r w:rsidR="00F10D6E" w:rsidRPr="008C72BF">
        <w:t xml:space="preserve"> </w:t>
      </w:r>
      <w:r w:rsidR="001841D7" w:rsidRPr="008C72BF">
        <w:t xml:space="preserve">75006546, asukohaga Raekoja plats </w:t>
      </w:r>
      <w:proofErr w:type="spellStart"/>
      <w:r w:rsidR="001841D7" w:rsidRPr="008C72BF">
        <w:t>1a</w:t>
      </w:r>
      <w:proofErr w:type="spellEnd"/>
      <w:r w:rsidR="001841D7" w:rsidRPr="008C72BF">
        <w:t xml:space="preserve">, Tartu 50089, edaspidi nimetatud </w:t>
      </w:r>
      <w:r w:rsidR="0038557E" w:rsidRPr="008C72BF">
        <w:rPr>
          <w:i/>
          <w:iCs/>
        </w:rPr>
        <w:t>Linn</w:t>
      </w:r>
      <w:r w:rsidR="001841D7" w:rsidRPr="008C72BF">
        <w:rPr>
          <w:i/>
          <w:iCs/>
        </w:rPr>
        <w:t>,</w:t>
      </w:r>
      <w:r w:rsidR="001841D7" w:rsidRPr="008C72BF">
        <w:t xml:space="preserve"> keda esindab linnapea Urmas Klaas</w:t>
      </w:r>
    </w:p>
    <w:p w14:paraId="5B1B8EBE" w14:textId="77777777" w:rsidR="001841D7" w:rsidRPr="008C72BF" w:rsidRDefault="001841D7" w:rsidP="0038557E">
      <w:pPr>
        <w:jc w:val="both"/>
      </w:pPr>
      <w:r w:rsidRPr="008C72BF">
        <w:t xml:space="preserve">edaspidi nimetatud </w:t>
      </w:r>
      <w:r w:rsidRPr="008C72BF">
        <w:rPr>
          <w:i/>
          <w:iCs/>
        </w:rPr>
        <w:t>Pooled</w:t>
      </w:r>
      <w:r w:rsidRPr="008C72BF">
        <w:t xml:space="preserve">, </w:t>
      </w:r>
    </w:p>
    <w:p w14:paraId="4B3FEC3C" w14:textId="77777777" w:rsidR="001841D7" w:rsidRPr="008C72BF" w:rsidRDefault="001841D7" w:rsidP="0038557E">
      <w:pPr>
        <w:jc w:val="both"/>
      </w:pPr>
      <w:r w:rsidRPr="008C72BF">
        <w:t>võttes arvesse, et:</w:t>
      </w:r>
    </w:p>
    <w:p w14:paraId="6D9E05EB" w14:textId="68777E0B" w:rsidR="00816D2C" w:rsidRPr="008C72BF" w:rsidRDefault="002B408C" w:rsidP="0038557E">
      <w:pPr>
        <w:numPr>
          <w:ilvl w:val="0"/>
          <w:numId w:val="1"/>
        </w:numPr>
        <w:jc w:val="both"/>
      </w:pPr>
      <w:r w:rsidRPr="008C72BF">
        <w:t>Linn</w:t>
      </w:r>
      <w:r w:rsidR="001841D7" w:rsidRPr="008C72BF">
        <w:t xml:space="preserve"> soovib rajada Tartu </w:t>
      </w:r>
      <w:r w:rsidR="00A46FA2" w:rsidRPr="008C72BF">
        <w:t>s</w:t>
      </w:r>
      <w:r w:rsidR="001841D7" w:rsidRPr="008C72BF">
        <w:t>üdalinna kultuurikeskuse</w:t>
      </w:r>
      <w:r w:rsidR="00DE2BD4" w:rsidRPr="008C72BF">
        <w:t xml:space="preserve"> (edaspidi tekstis: </w:t>
      </w:r>
      <w:r w:rsidR="00D074DA" w:rsidRPr="008C72BF">
        <w:t>Kultuurikeskus</w:t>
      </w:r>
      <w:r w:rsidR="00DE2BD4" w:rsidRPr="008C72BF">
        <w:t>)</w:t>
      </w:r>
      <w:r w:rsidR="001841D7" w:rsidRPr="008C72BF">
        <w:t>, mis on uueks</w:t>
      </w:r>
      <w:r w:rsidR="0038557E" w:rsidRPr="008C72BF">
        <w:t xml:space="preserve"> koduks </w:t>
      </w:r>
      <w:r w:rsidR="00D76DD3" w:rsidRPr="008C72BF">
        <w:t>esmajärjekorras</w:t>
      </w:r>
      <w:r w:rsidR="00F94760" w:rsidRPr="008C72BF">
        <w:t xml:space="preserve"> </w:t>
      </w:r>
      <w:r w:rsidR="0038557E" w:rsidRPr="008C72BF">
        <w:t>Tar</w:t>
      </w:r>
      <w:r w:rsidR="007E13A8" w:rsidRPr="008C72BF">
        <w:t>t</w:t>
      </w:r>
      <w:r w:rsidR="0038557E" w:rsidRPr="008C72BF">
        <w:t>u Kunstimuuseumile ja</w:t>
      </w:r>
      <w:r w:rsidR="001841D7" w:rsidRPr="008C72BF">
        <w:t xml:space="preserve"> Tartu </w:t>
      </w:r>
      <w:r w:rsidR="0038557E" w:rsidRPr="008C72BF">
        <w:t>Oskar Lutsu nimelisele Linnaraamatukogule</w:t>
      </w:r>
      <w:r w:rsidR="001841D7" w:rsidRPr="008C72BF">
        <w:t>;</w:t>
      </w:r>
      <w:r w:rsidR="00816D2C" w:rsidRPr="008C72BF">
        <w:t xml:space="preserve"> </w:t>
      </w:r>
    </w:p>
    <w:p w14:paraId="4B2B599E" w14:textId="783A0566" w:rsidR="00D05AB2" w:rsidRPr="008C72BF" w:rsidRDefault="00D05AB2" w:rsidP="00D05AB2">
      <w:pPr>
        <w:numPr>
          <w:ilvl w:val="0"/>
          <w:numId w:val="1"/>
        </w:numPr>
        <w:jc w:val="both"/>
      </w:pPr>
      <w:r w:rsidRPr="008C72BF">
        <w:t>Linn kinnitab Kultuurikeskuse kontseptsiooni jätkuvust ehk see on jäänud samaks nagu Riigikogule 2020. a augustis esitatud taotluses „Tartu linna ettepanek Riigikogu kultuurikomisjonile riiklikult tähtsa kultuuriobjekti osas“;</w:t>
      </w:r>
    </w:p>
    <w:p w14:paraId="6E569223" w14:textId="524B9786" w:rsidR="001841D7" w:rsidRPr="008C72BF" w:rsidRDefault="00816D2C" w:rsidP="0038557E">
      <w:pPr>
        <w:numPr>
          <w:ilvl w:val="0"/>
          <w:numId w:val="1"/>
        </w:numPr>
        <w:jc w:val="both"/>
      </w:pPr>
      <w:r w:rsidRPr="008C72BF">
        <w:t xml:space="preserve">Linn tagab </w:t>
      </w:r>
      <w:r w:rsidR="00462244" w:rsidRPr="008C72BF">
        <w:t xml:space="preserve">Kultuurikeskuses </w:t>
      </w:r>
      <w:r w:rsidRPr="008C72BF">
        <w:t>Tartu Kunstimuuse</w:t>
      </w:r>
      <w:r w:rsidR="008C72BF">
        <w:t>u</w:t>
      </w:r>
      <w:r w:rsidRPr="008C72BF">
        <w:t>mile ja Tartu Oskar Lutsu nime</w:t>
      </w:r>
      <w:r w:rsidR="00462244" w:rsidRPr="008C72BF">
        <w:t xml:space="preserve">lisele Linnaraamatukogule </w:t>
      </w:r>
      <w:r w:rsidRPr="008C72BF">
        <w:t>ruumide kasutami</w:t>
      </w:r>
      <w:r w:rsidR="00F35532" w:rsidRPr="008C72BF">
        <w:t>s</w:t>
      </w:r>
      <w:r w:rsidRPr="008C72BF">
        <w:t>e ühetaolistel tingimustel</w:t>
      </w:r>
      <w:r w:rsidR="00D05AB2" w:rsidRPr="008C72BF">
        <w:t xml:space="preserve"> (st üürimäär ja halduskulud on ühetaolised ja ruutmeetripõhised)</w:t>
      </w:r>
      <w:r w:rsidR="00462244" w:rsidRPr="008C72BF">
        <w:t>;</w:t>
      </w:r>
    </w:p>
    <w:p w14:paraId="0A31287A" w14:textId="31279B90" w:rsidR="001841D7" w:rsidRPr="008C72BF" w:rsidRDefault="001841D7" w:rsidP="0038557E">
      <w:pPr>
        <w:numPr>
          <w:ilvl w:val="0"/>
          <w:numId w:val="1"/>
        </w:numPr>
        <w:jc w:val="both"/>
      </w:pPr>
      <w:r w:rsidRPr="008C72BF">
        <w:t>Riigikogu on oma otsusega kinnitanud riiklikult tähtsate kultu</w:t>
      </w:r>
      <w:r w:rsidR="00A91AB6" w:rsidRPr="008C72BF">
        <w:t>uri</w:t>
      </w:r>
      <w:r w:rsidR="007E13A8" w:rsidRPr="008C72BF">
        <w:t>ehitiste</w:t>
      </w:r>
      <w:r w:rsidR="00A91AB6" w:rsidRPr="008C72BF">
        <w:t xml:space="preserve"> nimekirja, kus Kultuurikeskus</w:t>
      </w:r>
      <w:r w:rsidRPr="008C72BF">
        <w:t xml:space="preserve"> on esimesel positsioonil ehk pingereas esimene; </w:t>
      </w:r>
    </w:p>
    <w:p w14:paraId="1AEA8932" w14:textId="12C74B30" w:rsidR="001841D7" w:rsidRPr="008C72BF" w:rsidRDefault="001841D7" w:rsidP="0038557E">
      <w:pPr>
        <w:numPr>
          <w:ilvl w:val="0"/>
          <w:numId w:val="1"/>
        </w:numPr>
        <w:jc w:val="both"/>
      </w:pPr>
      <w:r w:rsidRPr="008C72BF">
        <w:t>Kultuurkapitalile laekuvad riiklikult tähtsat</w:t>
      </w:r>
      <w:r w:rsidR="0038557E" w:rsidRPr="008C72BF">
        <w:t>e kultuuri</w:t>
      </w:r>
      <w:r w:rsidR="007E13A8" w:rsidRPr="008C72BF">
        <w:t>ehitiste</w:t>
      </w:r>
      <w:r w:rsidR="0038557E" w:rsidRPr="008C72BF">
        <w:t xml:space="preserve"> rajamise ja</w:t>
      </w:r>
      <w:r w:rsidRPr="008C72BF">
        <w:t xml:space="preserve"> renoveerimise rahastamiseks vahendid seaduse alusel</w:t>
      </w:r>
      <w:r w:rsidR="00DE2BD4" w:rsidRPr="008C72BF">
        <w:t xml:space="preserve"> (</w:t>
      </w:r>
      <w:r w:rsidRPr="008C72BF">
        <w:t xml:space="preserve">edaspidi </w:t>
      </w:r>
      <w:r w:rsidR="00DE2BD4" w:rsidRPr="008C72BF">
        <w:t>tekstis:</w:t>
      </w:r>
      <w:r w:rsidR="0038557E" w:rsidRPr="008C72BF">
        <w:t xml:space="preserve"> </w:t>
      </w:r>
      <w:r w:rsidRPr="008C72BF">
        <w:rPr>
          <w:bCs/>
          <w:iCs/>
        </w:rPr>
        <w:t>Sihtsummad</w:t>
      </w:r>
      <w:r w:rsidR="00DE2BD4" w:rsidRPr="008C72BF">
        <w:rPr>
          <w:iCs/>
        </w:rPr>
        <w:t>),</w:t>
      </w:r>
      <w:r w:rsidRPr="008C72BF">
        <w:t xml:space="preserve"> </w:t>
      </w:r>
      <w:r w:rsidR="0038557E" w:rsidRPr="008C72BF">
        <w:t>mida Kultuurkapital jaotab</w:t>
      </w:r>
      <w:r w:rsidRPr="008C72BF">
        <w:t xml:space="preserve"> va</w:t>
      </w:r>
      <w:r w:rsidR="0038557E" w:rsidRPr="008C72BF">
        <w:t>stavalt Riigikogu poolt kinnita</w:t>
      </w:r>
      <w:r w:rsidRPr="008C72BF">
        <w:t>tud pingereale;</w:t>
      </w:r>
    </w:p>
    <w:p w14:paraId="70456C2C" w14:textId="77777777" w:rsidR="002B408C" w:rsidRPr="008C72BF" w:rsidRDefault="00A91AB6" w:rsidP="0038557E">
      <w:pPr>
        <w:numPr>
          <w:ilvl w:val="0"/>
          <w:numId w:val="1"/>
        </w:numPr>
        <w:jc w:val="both"/>
      </w:pPr>
      <w:r w:rsidRPr="008C72BF">
        <w:t>Kultuurikeskuse</w:t>
      </w:r>
      <w:r w:rsidR="001841D7" w:rsidRPr="008C72BF">
        <w:t xml:space="preserve"> väljaarendamisega (mh ehitusega) seotud kulud ületavad </w:t>
      </w:r>
      <w:r w:rsidR="0038557E" w:rsidRPr="008C72BF">
        <w:t>Linna</w:t>
      </w:r>
      <w:r w:rsidR="001841D7" w:rsidRPr="008C72BF">
        <w:t xml:space="preserve"> rahalisi võimalusi, millest tulenevalt taotleb </w:t>
      </w:r>
      <w:r w:rsidR="0038557E" w:rsidRPr="008C72BF">
        <w:t>Linn</w:t>
      </w:r>
      <w:r w:rsidRPr="008C72BF">
        <w:t xml:space="preserve"> Kultuurikeskuse</w:t>
      </w:r>
      <w:r w:rsidR="001841D7" w:rsidRPr="008C72BF">
        <w:t xml:space="preserve"> väljaarendamiseks </w:t>
      </w:r>
      <w:r w:rsidR="002B408C" w:rsidRPr="008C72BF">
        <w:t>Kultuurkapitali toetust;</w:t>
      </w:r>
      <w:r w:rsidR="0038557E" w:rsidRPr="008C72BF">
        <w:t xml:space="preserve"> </w:t>
      </w:r>
    </w:p>
    <w:p w14:paraId="01FE8AE1" w14:textId="05559FB9" w:rsidR="000F4475" w:rsidRPr="008C72BF" w:rsidRDefault="000F4475" w:rsidP="000F4475">
      <w:pPr>
        <w:numPr>
          <w:ilvl w:val="0"/>
          <w:numId w:val="1"/>
        </w:numPr>
        <w:jc w:val="both"/>
      </w:pPr>
      <w:r w:rsidRPr="008C72BF">
        <w:t xml:space="preserve">Linn on valmis kasutama sildfinantseeringut, kui Kultuurikeskuse väljaarendamisega seotud kulud ehitusperioodil ületavad Kultuurkapitali poolt sellel perioodil </w:t>
      </w:r>
      <w:r w:rsidR="0015462C" w:rsidRPr="008C72BF">
        <w:t>antavat</w:t>
      </w:r>
      <w:r w:rsidRPr="008C72BF">
        <w:t xml:space="preserve"> toetust</w:t>
      </w:r>
      <w:r w:rsidR="0015462C" w:rsidRPr="008C72BF">
        <w:t>;</w:t>
      </w:r>
    </w:p>
    <w:p w14:paraId="518D8ED0" w14:textId="77777777" w:rsidR="002B408C" w:rsidRPr="008C72BF" w:rsidRDefault="00A91AB6" w:rsidP="002B408C">
      <w:pPr>
        <w:numPr>
          <w:ilvl w:val="0"/>
          <w:numId w:val="1"/>
        </w:numPr>
      </w:pPr>
      <w:r w:rsidRPr="008C72BF">
        <w:t>Kultuurikeskuse</w:t>
      </w:r>
      <w:r w:rsidR="004D0C1D" w:rsidRPr="008C72BF">
        <w:t xml:space="preserve"> väljaarendamise</w:t>
      </w:r>
      <w:r w:rsidR="002B408C" w:rsidRPr="008C72BF">
        <w:t xml:space="preserve"> ettevalmistavate töödega</w:t>
      </w:r>
      <w:r w:rsidR="004D0C1D" w:rsidRPr="008C72BF">
        <w:t xml:space="preserve"> on alustatud</w:t>
      </w:r>
      <w:r w:rsidR="00D76DD3" w:rsidRPr="008C72BF">
        <w:t>;</w:t>
      </w:r>
    </w:p>
    <w:p w14:paraId="3EAC9A21" w14:textId="77777777" w:rsidR="00CD4DE5" w:rsidRPr="008C72BF" w:rsidRDefault="00CD4DE5" w:rsidP="005C40A1">
      <w:pPr>
        <w:ind w:left="360"/>
      </w:pPr>
      <w:r w:rsidRPr="008C72BF">
        <w:t>sõlmisid Pooled käesoleva lepingu alljärgnevas:</w:t>
      </w:r>
    </w:p>
    <w:p w14:paraId="7EA1B249" w14:textId="77777777" w:rsidR="00CD4DE5" w:rsidRPr="008C72BF" w:rsidRDefault="005C40A1" w:rsidP="005C40A1">
      <w:pPr>
        <w:pStyle w:val="ListParagraph"/>
        <w:numPr>
          <w:ilvl w:val="0"/>
          <w:numId w:val="2"/>
        </w:numPr>
        <w:rPr>
          <w:b/>
        </w:rPr>
      </w:pPr>
      <w:r w:rsidRPr="008C72BF">
        <w:rPr>
          <w:b/>
        </w:rPr>
        <w:t>Lepingu ese</w:t>
      </w:r>
      <w:r w:rsidR="008F1458" w:rsidRPr="008C72BF">
        <w:rPr>
          <w:b/>
        </w:rPr>
        <w:t xml:space="preserve"> ja kulude ulatus</w:t>
      </w:r>
    </w:p>
    <w:p w14:paraId="1C41939B" w14:textId="77777777" w:rsidR="002B408C" w:rsidRPr="008C72BF" w:rsidRDefault="002B408C" w:rsidP="002B408C">
      <w:pPr>
        <w:pStyle w:val="ListParagraph"/>
        <w:rPr>
          <w:b/>
        </w:rPr>
      </w:pPr>
    </w:p>
    <w:p w14:paraId="632D3FE5" w14:textId="3C19CC41" w:rsidR="005A4D2C" w:rsidRPr="008C72BF" w:rsidRDefault="0040170A" w:rsidP="005A4D2C">
      <w:pPr>
        <w:pStyle w:val="ListParagraph"/>
        <w:numPr>
          <w:ilvl w:val="1"/>
          <w:numId w:val="2"/>
        </w:numPr>
        <w:jc w:val="both"/>
      </w:pPr>
      <w:r w:rsidRPr="008C72BF">
        <w:t>Lepingu esemeks on</w:t>
      </w:r>
      <w:r w:rsidR="005C40A1" w:rsidRPr="008C72BF">
        <w:t xml:space="preserve"> </w:t>
      </w:r>
      <w:r w:rsidR="00A91AB6" w:rsidRPr="008C72BF">
        <w:t>Kultuurikeskuse</w:t>
      </w:r>
      <w:r w:rsidR="005C40A1" w:rsidRPr="008C72BF">
        <w:t xml:space="preserve"> väljaarendamise (edaspidi</w:t>
      </w:r>
      <w:r w:rsidR="000A2AA7" w:rsidRPr="008C72BF">
        <w:t xml:space="preserve"> tekstis:</w:t>
      </w:r>
      <w:r w:rsidR="005C40A1" w:rsidRPr="008C72BF">
        <w:t xml:space="preserve"> Tööd) </w:t>
      </w:r>
      <w:r w:rsidRPr="008C72BF">
        <w:t xml:space="preserve">rahastamise Kultuurkapitali </w:t>
      </w:r>
      <w:r w:rsidR="004D0C1D" w:rsidRPr="008C72BF">
        <w:t xml:space="preserve">poolse </w:t>
      </w:r>
      <w:r w:rsidRPr="008C72BF">
        <w:t>osa põhimõtete</w:t>
      </w:r>
      <w:r w:rsidR="004D0C1D" w:rsidRPr="008C72BF">
        <w:t>s</w:t>
      </w:r>
      <w:r w:rsidRPr="008C72BF">
        <w:t xml:space="preserve"> kokkuleppimine</w:t>
      </w:r>
      <w:r w:rsidR="00677123" w:rsidRPr="008C72BF">
        <w:t xml:space="preserve"> ning </w:t>
      </w:r>
      <w:r w:rsidR="00D76DD3" w:rsidRPr="008C72BF">
        <w:t xml:space="preserve">Linna poolt väljamaksetaotluste tegemise ja </w:t>
      </w:r>
      <w:r w:rsidR="00F10D6E" w:rsidRPr="008C72BF">
        <w:t xml:space="preserve">Kultuurkapitali poolt </w:t>
      </w:r>
      <w:r w:rsidR="00677123" w:rsidRPr="008C72BF">
        <w:t>väljamaksete tege</w:t>
      </w:r>
      <w:r w:rsidR="006328B1" w:rsidRPr="008C72BF">
        <w:t>mise põhimõtete kokkuleppimine.</w:t>
      </w:r>
    </w:p>
    <w:p w14:paraId="413DFAC8" w14:textId="77777777" w:rsidR="00695078" w:rsidRPr="008C72BF" w:rsidRDefault="00695078" w:rsidP="00695078">
      <w:pPr>
        <w:pStyle w:val="ListParagraph"/>
        <w:ind w:left="785"/>
        <w:jc w:val="both"/>
      </w:pPr>
    </w:p>
    <w:p w14:paraId="6C15EDD1" w14:textId="40DD293D" w:rsidR="00745540" w:rsidRPr="008C72BF" w:rsidRDefault="005A4D2C" w:rsidP="00745540">
      <w:pPr>
        <w:pStyle w:val="ListParagraph"/>
        <w:numPr>
          <w:ilvl w:val="1"/>
          <w:numId w:val="2"/>
        </w:numPr>
        <w:jc w:val="both"/>
        <w:rPr>
          <w:rFonts w:cstheme="minorHAnsi"/>
        </w:rPr>
      </w:pPr>
      <w:r w:rsidRPr="008C72BF">
        <w:rPr>
          <w:rFonts w:cstheme="minorHAnsi"/>
        </w:rPr>
        <w:lastRenderedPageBreak/>
        <w:t>Lepingu sõlmimise eeldusena lepivad Pooled kokku, et Tööde hinnanguliseks maksumuseks 1. jaanuari 2022. a seisuga on</w:t>
      </w:r>
      <w:r w:rsidR="008274AA" w:rsidRPr="008C72BF">
        <w:rPr>
          <w:rFonts w:cstheme="minorHAnsi"/>
        </w:rPr>
        <w:t xml:space="preserve"> ilma käibemaksuta</w:t>
      </w:r>
      <w:r w:rsidRPr="008C72BF">
        <w:rPr>
          <w:rFonts w:cstheme="minorHAnsi"/>
        </w:rPr>
        <w:t xml:space="preserve"> </w:t>
      </w:r>
      <w:r w:rsidR="008274AA" w:rsidRPr="008C72BF">
        <w:rPr>
          <w:rFonts w:cstheme="minorHAnsi"/>
        </w:rPr>
        <w:t>73</w:t>
      </w:r>
      <w:r w:rsidRPr="008C72BF">
        <w:rPr>
          <w:rFonts w:cstheme="minorHAnsi"/>
        </w:rPr>
        <w:t xml:space="preserve"> </w:t>
      </w:r>
      <w:r w:rsidR="008274AA" w:rsidRPr="008C72BF">
        <w:rPr>
          <w:rFonts w:cstheme="minorHAnsi"/>
        </w:rPr>
        <w:t>7</w:t>
      </w:r>
      <w:r w:rsidRPr="008C72BF">
        <w:rPr>
          <w:rFonts w:cstheme="minorHAnsi"/>
        </w:rPr>
        <w:t>00 000 (</w:t>
      </w:r>
      <w:r w:rsidR="008274AA" w:rsidRPr="008C72BF">
        <w:rPr>
          <w:rFonts w:cstheme="minorHAnsi"/>
        </w:rPr>
        <w:t>seitsekümmend kolm miljonit seitsesada</w:t>
      </w:r>
      <w:r w:rsidRPr="008C72BF">
        <w:rPr>
          <w:rFonts w:cstheme="minorHAnsi"/>
        </w:rPr>
        <w:t xml:space="preserve"> tuhat) eurot (edaspidi tekstis: Hinnanguline maksumus)</w:t>
      </w:r>
      <w:r w:rsidR="00745540" w:rsidRPr="008C72BF">
        <w:rPr>
          <w:rFonts w:cstheme="minorHAnsi"/>
        </w:rPr>
        <w:t>.</w:t>
      </w:r>
    </w:p>
    <w:p w14:paraId="4B2A40F0" w14:textId="77777777" w:rsidR="00745540" w:rsidRPr="008C72BF" w:rsidRDefault="00745540" w:rsidP="00745540">
      <w:pPr>
        <w:pStyle w:val="ListParagraph"/>
        <w:ind w:left="785"/>
        <w:jc w:val="both"/>
        <w:rPr>
          <w:rFonts w:cstheme="minorHAnsi"/>
        </w:rPr>
      </w:pPr>
    </w:p>
    <w:p w14:paraId="7E85A2EC" w14:textId="461C6A63" w:rsidR="005A4D2C" w:rsidRPr="008C72BF" w:rsidRDefault="005A4D2C" w:rsidP="005A4D2C">
      <w:pPr>
        <w:pStyle w:val="ListParagraph"/>
        <w:numPr>
          <w:ilvl w:val="1"/>
          <w:numId w:val="2"/>
        </w:numPr>
        <w:jc w:val="both"/>
        <w:rPr>
          <w:rFonts w:cstheme="minorHAnsi"/>
        </w:rPr>
      </w:pPr>
      <w:r w:rsidRPr="008C72BF">
        <w:rPr>
          <w:rFonts w:cstheme="minorHAnsi"/>
        </w:rPr>
        <w:t>Hinnangulist maksumust korrigeeritakse ehitushinnaindeksi muutuse</w:t>
      </w:r>
      <w:r w:rsidR="00E4731A" w:rsidRPr="008C72BF">
        <w:rPr>
          <w:rFonts w:cstheme="minorHAnsi"/>
        </w:rPr>
        <w:t>ga</w:t>
      </w:r>
      <w:r w:rsidRPr="008C72BF">
        <w:rPr>
          <w:rFonts w:cstheme="minorHAnsi"/>
        </w:rPr>
        <w:t xml:space="preserve"> vahetult enne Kultuurikeskuse ehitamise lepingu sõlmimist, tuletades selliselt Tööde piirmaksumuse (edaspidi tekstis: Piirmaksumus). Ehitushinnaindeksi muutuse arvutamise aluseks võetakse 2021. aasta 4. kvartalis Eesti Statistika avaldatud ehitushinnaindeks</w:t>
      </w:r>
      <w:r w:rsidR="0015462C" w:rsidRPr="008C72BF">
        <w:rPr>
          <w:rFonts w:cstheme="minorHAnsi"/>
        </w:rPr>
        <w:t xml:space="preserve"> (</w:t>
      </w:r>
      <w:proofErr w:type="spellStart"/>
      <w:r w:rsidR="0015462C" w:rsidRPr="008C72BF">
        <w:rPr>
          <w:rFonts w:cstheme="minorHAnsi"/>
        </w:rPr>
        <w:t>IA10</w:t>
      </w:r>
      <w:proofErr w:type="spellEnd"/>
      <w:r w:rsidR="0015462C" w:rsidRPr="008C72BF">
        <w:rPr>
          <w:rFonts w:cstheme="minorHAnsi"/>
        </w:rPr>
        <w:t>: ehitushinnaindeks (koondindeks))</w:t>
      </w:r>
      <w:r w:rsidRPr="008C72BF">
        <w:rPr>
          <w:rFonts w:cstheme="minorHAnsi"/>
        </w:rPr>
        <w:t xml:space="preserve">, mis oli 232,05 ja arvutamise hetkel Eesti Statistika poolt viimati avaldatud kvartali </w:t>
      </w:r>
      <w:r w:rsidR="0015462C" w:rsidRPr="008C72BF">
        <w:rPr>
          <w:rFonts w:cstheme="minorHAnsi"/>
        </w:rPr>
        <w:t xml:space="preserve">sama </w:t>
      </w:r>
      <w:r w:rsidRPr="008C72BF">
        <w:rPr>
          <w:rFonts w:cstheme="minorHAnsi"/>
        </w:rPr>
        <w:t>ehitushinnaindeks. Viimasena avaldatud indeks jagatakse läbi arvuga 232,05 ja saadud tulemusega korrutatakse läbi lepingu sõlmimise aja Hinnanguline maksumus.</w:t>
      </w:r>
    </w:p>
    <w:p w14:paraId="3F075B85" w14:textId="77777777" w:rsidR="00695078" w:rsidRPr="008C72BF" w:rsidRDefault="00695078" w:rsidP="00695078">
      <w:pPr>
        <w:pStyle w:val="ListParagraph"/>
        <w:ind w:left="785"/>
        <w:jc w:val="both"/>
        <w:rPr>
          <w:rFonts w:cstheme="minorHAnsi"/>
        </w:rPr>
      </w:pPr>
    </w:p>
    <w:p w14:paraId="0CF3B08B" w14:textId="3AA9AC43" w:rsidR="00524E23" w:rsidRPr="008C72BF" w:rsidRDefault="00524E23" w:rsidP="00524E23">
      <w:pPr>
        <w:pStyle w:val="ListParagraph"/>
        <w:numPr>
          <w:ilvl w:val="1"/>
          <w:numId w:val="2"/>
        </w:numPr>
        <w:spacing w:after="0"/>
        <w:jc w:val="both"/>
      </w:pPr>
      <w:r w:rsidRPr="008C72BF">
        <w:t>Kultuurikeskuse väljaarendamise ehk Tööde</w:t>
      </w:r>
      <w:r w:rsidR="00B605D8" w:rsidRPr="008C72BF">
        <w:t>ga kaasnevaks kuluks</w:t>
      </w:r>
      <w:r w:rsidRPr="008C72BF">
        <w:t>, mi</w:t>
      </w:r>
      <w:r w:rsidR="00B605D8" w:rsidRPr="008C72BF">
        <w:t>s</w:t>
      </w:r>
      <w:r w:rsidRPr="008C72BF">
        <w:t xml:space="preserve"> kaetakse käesoleva Lepingu alusel</w:t>
      </w:r>
      <w:r w:rsidR="001A112C" w:rsidRPr="008C72BF">
        <w:t xml:space="preserve"> </w:t>
      </w:r>
      <w:r w:rsidR="00164067" w:rsidRPr="008C72BF">
        <w:t xml:space="preserve">osaliselt </w:t>
      </w:r>
      <w:r w:rsidR="001A112C" w:rsidRPr="008C72BF">
        <w:t>Kultuurkapitali toetusega</w:t>
      </w:r>
      <w:r w:rsidRPr="008C72BF">
        <w:t>,  loetakse järgmis</w:t>
      </w:r>
      <w:r w:rsidR="00B605D8" w:rsidRPr="008C72BF">
        <w:t>t</w:t>
      </w:r>
      <w:r w:rsidRPr="008C72BF">
        <w:t xml:space="preserve">: </w:t>
      </w:r>
    </w:p>
    <w:p w14:paraId="7BC873EC" w14:textId="77777777" w:rsidR="00524E23" w:rsidRPr="008C72BF" w:rsidRDefault="00524E23" w:rsidP="00524E23">
      <w:pPr>
        <w:pStyle w:val="ListParagraph"/>
        <w:numPr>
          <w:ilvl w:val="0"/>
          <w:numId w:val="6"/>
        </w:numPr>
        <w:spacing w:after="0"/>
        <w:jc w:val="both"/>
      </w:pPr>
      <w:proofErr w:type="spellStart"/>
      <w:r w:rsidRPr="008C72BF">
        <w:t>KPMG</w:t>
      </w:r>
      <w:proofErr w:type="spellEnd"/>
      <w:r w:rsidRPr="008C72BF">
        <w:t xml:space="preserve"> Baltics OÜ 11. märtsi 2022. a koostatud ekspertarvamuses (Lepingu lisa nr 1) Kultuurikeskuse soetusmaksumuse kapitaliseeritavaks kuluks hinnatud kulusid, </w:t>
      </w:r>
    </w:p>
    <w:p w14:paraId="5414241D" w14:textId="77777777" w:rsidR="00524E23" w:rsidRPr="008C72BF" w:rsidRDefault="00524E23" w:rsidP="00524E23">
      <w:pPr>
        <w:pStyle w:val="ListParagraph"/>
        <w:numPr>
          <w:ilvl w:val="0"/>
          <w:numId w:val="6"/>
        </w:numPr>
        <w:spacing w:after="0"/>
        <w:jc w:val="both"/>
      </w:pPr>
      <w:r w:rsidRPr="008C72BF">
        <w:t>Kultuurikeskuse projekteerimise kulusid,</w:t>
      </w:r>
    </w:p>
    <w:p w14:paraId="23BA3E49" w14:textId="56EAE6A6" w:rsidR="00524E23" w:rsidRPr="008C72BF" w:rsidRDefault="00524E23" w:rsidP="00524E23">
      <w:pPr>
        <w:pStyle w:val="ListParagraph"/>
        <w:numPr>
          <w:ilvl w:val="0"/>
          <w:numId w:val="6"/>
        </w:numPr>
        <w:spacing w:after="0"/>
        <w:jc w:val="both"/>
      </w:pPr>
      <w:r w:rsidRPr="008C72BF">
        <w:t xml:space="preserve">Kultuurikeskuse ehitamise kulusid, </w:t>
      </w:r>
      <w:r w:rsidR="00023EC5" w:rsidRPr="008C72BF">
        <w:t>sh keskuse sisustamise, tehnika ja tehnoloogiate ostmise kulusid,</w:t>
      </w:r>
    </w:p>
    <w:p w14:paraId="3AF43084" w14:textId="77777777" w:rsidR="00524E23" w:rsidRPr="008C72BF" w:rsidRDefault="00524E23" w:rsidP="00524E23">
      <w:pPr>
        <w:pStyle w:val="ListParagraph"/>
        <w:numPr>
          <w:ilvl w:val="0"/>
          <w:numId w:val="6"/>
        </w:numPr>
        <w:spacing w:after="0"/>
        <w:jc w:val="both"/>
      </w:pPr>
      <w:r w:rsidRPr="008C72BF">
        <w:t xml:space="preserve">Kultuurikeskuse toimimiseks vajalike kommunikatsioonide liitumistasusid; </w:t>
      </w:r>
    </w:p>
    <w:p w14:paraId="44F6020F" w14:textId="77777777" w:rsidR="00524E23" w:rsidRPr="008C72BF" w:rsidRDefault="00524E23" w:rsidP="00524E23">
      <w:pPr>
        <w:pStyle w:val="ListParagraph"/>
        <w:numPr>
          <w:ilvl w:val="0"/>
          <w:numId w:val="6"/>
        </w:numPr>
        <w:spacing w:after="0"/>
        <w:jc w:val="both"/>
      </w:pPr>
      <w:r w:rsidRPr="008C72BF">
        <w:t>Kultuurikeskuse ehitamise aegse omanikujärelevalve, autorijärelevalve ja muude ekspertiisiteenuste kulusid,</w:t>
      </w:r>
    </w:p>
    <w:p w14:paraId="669961FB" w14:textId="4183E192" w:rsidR="00524E23" w:rsidRPr="008C72BF" w:rsidRDefault="00524E23" w:rsidP="00524E23">
      <w:pPr>
        <w:pStyle w:val="ListParagraph"/>
        <w:numPr>
          <w:ilvl w:val="0"/>
          <w:numId w:val="6"/>
        </w:numPr>
        <w:spacing w:after="0"/>
        <w:jc w:val="both"/>
      </w:pPr>
      <w:r w:rsidRPr="008C72BF">
        <w:t>muid vältimatuid kulusid, mis on vajalikud Kultuurikeskuse väljaarendamiseks</w:t>
      </w:r>
      <w:r w:rsidR="00BC35E2" w:rsidRPr="008C72BF">
        <w:t xml:space="preserve"> ja mis on kooskõlastatud Kultuurkapitaliga.</w:t>
      </w:r>
    </w:p>
    <w:p w14:paraId="7B717AF2" w14:textId="77777777" w:rsidR="00861F00" w:rsidRPr="008C72BF" w:rsidRDefault="00861F00" w:rsidP="00861F00">
      <w:pPr>
        <w:spacing w:after="0"/>
        <w:ind w:left="708"/>
        <w:jc w:val="both"/>
      </w:pPr>
    </w:p>
    <w:p w14:paraId="68703F39" w14:textId="54A5BD04" w:rsidR="00861F00" w:rsidRPr="008C72BF" w:rsidRDefault="00861F00" w:rsidP="00861F00">
      <w:pPr>
        <w:pStyle w:val="ListParagraph"/>
        <w:numPr>
          <w:ilvl w:val="1"/>
          <w:numId w:val="2"/>
        </w:numPr>
        <w:spacing w:after="0"/>
        <w:jc w:val="both"/>
      </w:pPr>
      <w:r w:rsidRPr="008C72BF">
        <w:t>Kultuurkapitali toetusega ei kaeta käesoleva Lepingu punktis 1.4. nimetatud Tööde tegemi</w:t>
      </w:r>
      <w:r w:rsidR="007E0BFA" w:rsidRPr="008C72BF">
        <w:t>seks</w:t>
      </w:r>
      <w:r w:rsidRPr="008C72BF">
        <w:t xml:space="preserve"> sõlmitud ükskõik millise lepingu täitmisel </w:t>
      </w:r>
      <w:r w:rsidR="00F9198E" w:rsidRPr="008C72BF">
        <w:t xml:space="preserve">Linna poolt </w:t>
      </w:r>
      <w:r w:rsidRPr="008C72BF">
        <w:t>tasumisele kuuluvat leppetrahvi, st leppetrahvi tasumist tõendavat dokument ei saa olla väljamaksetaotluse koosseisus väljamakse alusdokument.</w:t>
      </w:r>
    </w:p>
    <w:p w14:paraId="2D7ACEAB" w14:textId="77777777" w:rsidR="00524E23" w:rsidRPr="008C72BF" w:rsidRDefault="00524E23" w:rsidP="00524E23">
      <w:pPr>
        <w:pStyle w:val="ListParagraph"/>
        <w:rPr>
          <w:rFonts w:cstheme="minorHAnsi"/>
        </w:rPr>
      </w:pPr>
    </w:p>
    <w:p w14:paraId="17064214" w14:textId="642302C2" w:rsidR="00525A11" w:rsidRPr="008C72BF" w:rsidRDefault="00525A11" w:rsidP="00E4731A">
      <w:pPr>
        <w:pStyle w:val="ListParagraph"/>
        <w:numPr>
          <w:ilvl w:val="1"/>
          <w:numId w:val="2"/>
        </w:numPr>
        <w:jc w:val="both"/>
        <w:rPr>
          <w:rFonts w:cstheme="minorHAnsi"/>
        </w:rPr>
      </w:pPr>
      <w:r w:rsidRPr="008C72BF">
        <w:rPr>
          <w:rFonts w:cstheme="minorHAnsi"/>
        </w:rPr>
        <w:t>Käesoleva Lepingu punktis 1.4. nimetatud kõigi t</w:t>
      </w:r>
      <w:r w:rsidR="005A4D2C" w:rsidRPr="008C72BF">
        <w:rPr>
          <w:rFonts w:cstheme="minorHAnsi"/>
        </w:rPr>
        <w:t>ööde lõplik</w:t>
      </w:r>
      <w:r w:rsidRPr="008C72BF">
        <w:rPr>
          <w:rFonts w:cstheme="minorHAnsi"/>
        </w:rPr>
        <w:t>e maksumuste selgumisel korrigeeritakse Piirmaksumust</w:t>
      </w:r>
      <w:r w:rsidR="00E4731A" w:rsidRPr="008C72BF">
        <w:rPr>
          <w:rFonts w:cstheme="minorHAnsi"/>
        </w:rPr>
        <w:t>.</w:t>
      </w:r>
      <w:r w:rsidRPr="008C72BF">
        <w:rPr>
          <w:rFonts w:cstheme="minorHAnsi"/>
        </w:rPr>
        <w:t xml:space="preserve"> </w:t>
      </w:r>
      <w:r w:rsidR="00E4731A" w:rsidRPr="008C72BF">
        <w:rPr>
          <w:rFonts w:cstheme="minorHAnsi"/>
        </w:rPr>
        <w:t>K</w:t>
      </w:r>
      <w:r w:rsidRPr="008C72BF">
        <w:rPr>
          <w:rFonts w:cstheme="minorHAnsi"/>
        </w:rPr>
        <w:t>ui kõigi punktis 1.4. nimetatud tööde maksumuste selgumisel ilmneb, et nende kogumaksumus jääb Piirmaksumusest madalamaks</w:t>
      </w:r>
      <w:r w:rsidR="00E4731A" w:rsidRPr="008C72BF">
        <w:rPr>
          <w:rFonts w:cstheme="minorHAnsi"/>
        </w:rPr>
        <w:t>, siis loetakse see</w:t>
      </w:r>
      <w:r w:rsidRPr="008C72BF">
        <w:rPr>
          <w:rFonts w:cstheme="minorHAnsi"/>
        </w:rPr>
        <w:t xml:space="preserve"> Tööde lõplik</w:t>
      </w:r>
      <w:r w:rsidR="00E4731A" w:rsidRPr="008C72BF">
        <w:rPr>
          <w:rFonts w:cstheme="minorHAnsi"/>
        </w:rPr>
        <w:t>uks</w:t>
      </w:r>
      <w:r w:rsidRPr="008C72BF">
        <w:rPr>
          <w:rFonts w:cstheme="minorHAnsi"/>
        </w:rPr>
        <w:t xml:space="preserve"> maksumus</w:t>
      </w:r>
      <w:r w:rsidR="00E4731A" w:rsidRPr="008C72BF">
        <w:rPr>
          <w:rFonts w:cstheme="minorHAnsi"/>
        </w:rPr>
        <w:t>eks</w:t>
      </w:r>
      <w:r w:rsidRPr="008C72BF">
        <w:rPr>
          <w:rFonts w:cstheme="minorHAnsi"/>
        </w:rPr>
        <w:t xml:space="preserve"> (edaspidises tekstis: Lõppmaksumus). Piirmaksumust ei korrigeerita, kui kõigi punktis 1.4. nimetatud tööde maksumuste selgum</w:t>
      </w:r>
      <w:r w:rsidR="00DE2BD4" w:rsidRPr="008C72BF">
        <w:rPr>
          <w:rFonts w:cstheme="minorHAnsi"/>
        </w:rPr>
        <w:t>i</w:t>
      </w:r>
      <w:r w:rsidRPr="008C72BF">
        <w:rPr>
          <w:rFonts w:cstheme="minorHAnsi"/>
        </w:rPr>
        <w:t>se tulemusel selgub, et nende kogumaksumus ületab Piirmaksumust, sel juhul loetakse Lõppmaksumuseks Piirmaksumus.</w:t>
      </w:r>
    </w:p>
    <w:p w14:paraId="357C803B" w14:textId="77777777" w:rsidR="00525A11" w:rsidRPr="008C72BF" w:rsidRDefault="00525A11" w:rsidP="00695078">
      <w:pPr>
        <w:pStyle w:val="ListParagraph"/>
        <w:rPr>
          <w:rFonts w:cstheme="minorHAnsi"/>
        </w:rPr>
      </w:pPr>
    </w:p>
    <w:p w14:paraId="3B378A68" w14:textId="01DF33E9" w:rsidR="001D0A54" w:rsidRPr="008C72BF" w:rsidRDefault="00695078" w:rsidP="001D0A54">
      <w:pPr>
        <w:pStyle w:val="ListParagraph"/>
        <w:numPr>
          <w:ilvl w:val="1"/>
          <w:numId w:val="2"/>
        </w:numPr>
        <w:jc w:val="both"/>
        <w:rPr>
          <w:rFonts w:cstheme="minorHAnsi"/>
        </w:rPr>
      </w:pPr>
      <w:r w:rsidRPr="008C72BF">
        <w:rPr>
          <w:rFonts w:cstheme="minorHAnsi"/>
        </w:rPr>
        <w:t>Tööde Lõppmaksumuse summast katab 67% Kultuurkapital ja 33% Linn.</w:t>
      </w:r>
    </w:p>
    <w:p w14:paraId="5CC58076" w14:textId="77777777" w:rsidR="001D0A54" w:rsidRPr="008C72BF" w:rsidRDefault="001D0A54" w:rsidP="001D0A54">
      <w:pPr>
        <w:pStyle w:val="ListParagraph"/>
        <w:rPr>
          <w:rFonts w:ascii="Times New Roman" w:hAnsi="Times New Roman" w:cs="Times New Roman"/>
          <w:color w:val="004080"/>
          <w:sz w:val="24"/>
          <w:szCs w:val="24"/>
        </w:rPr>
      </w:pPr>
    </w:p>
    <w:p w14:paraId="39681D63" w14:textId="43AFC5AC" w:rsidR="00E4731A" w:rsidRPr="008C72BF" w:rsidRDefault="001D0A54" w:rsidP="00E4731A">
      <w:pPr>
        <w:pStyle w:val="ListParagraph"/>
        <w:numPr>
          <w:ilvl w:val="1"/>
          <w:numId w:val="2"/>
        </w:numPr>
        <w:jc w:val="both"/>
        <w:rPr>
          <w:rFonts w:cstheme="minorHAnsi"/>
        </w:rPr>
      </w:pPr>
      <w:r w:rsidRPr="008C72BF">
        <w:rPr>
          <w:rFonts w:cstheme="minorHAnsi"/>
        </w:rPr>
        <w:t>Tööde Lõppmaksumusele lisandub kulu, mis tekib sildfinantseeringu</w:t>
      </w:r>
      <w:r w:rsidR="00F9198E" w:rsidRPr="008C72BF">
        <w:rPr>
          <w:rFonts w:cstheme="minorHAnsi"/>
        </w:rPr>
        <w:t xml:space="preserve"> korraldamisega</w:t>
      </w:r>
      <w:r w:rsidRPr="008C72BF">
        <w:rPr>
          <w:rFonts w:cstheme="minorHAnsi"/>
        </w:rPr>
        <w:t xml:space="preserve"> Linna poolt Kultuurkapitali kaetava osa finantseerimiseks, mida ei </w:t>
      </w:r>
      <w:r w:rsidR="00DE2BD4" w:rsidRPr="008C72BF">
        <w:rPr>
          <w:rFonts w:cstheme="minorHAnsi"/>
        </w:rPr>
        <w:t>kaeta</w:t>
      </w:r>
      <w:r w:rsidRPr="008C72BF">
        <w:rPr>
          <w:rFonts w:cstheme="minorHAnsi"/>
        </w:rPr>
        <w:t xml:space="preserve"> punktis 1.</w:t>
      </w:r>
      <w:r w:rsidR="00164067" w:rsidRPr="008C72BF">
        <w:rPr>
          <w:rFonts w:cstheme="minorHAnsi"/>
        </w:rPr>
        <w:t>1</w:t>
      </w:r>
      <w:r w:rsidR="00303AA2" w:rsidRPr="008C72BF">
        <w:rPr>
          <w:rFonts w:cstheme="minorHAnsi"/>
        </w:rPr>
        <w:t>1</w:t>
      </w:r>
      <w:r w:rsidRPr="008C72BF">
        <w:rPr>
          <w:rFonts w:cstheme="minorHAnsi"/>
        </w:rPr>
        <w:t xml:space="preserve">. nimetatud graafiku kohaselt (edaspidises tekstis: Lisanduv kulu). Lisanduva kulu hulka kuuluvad muuhulgas, kuid mitte ainult </w:t>
      </w:r>
      <w:r w:rsidR="00303AA2" w:rsidRPr="008C72BF">
        <w:rPr>
          <w:rFonts w:cstheme="minorHAnsi"/>
        </w:rPr>
        <w:t xml:space="preserve">sildfinantseerimise </w:t>
      </w:r>
      <w:r w:rsidR="00F9198E" w:rsidRPr="008C72BF">
        <w:rPr>
          <w:rFonts w:cstheme="minorHAnsi"/>
        </w:rPr>
        <w:t xml:space="preserve">korraldamisega </w:t>
      </w:r>
      <w:r w:rsidRPr="008C72BF">
        <w:rPr>
          <w:rFonts w:cstheme="minorHAnsi"/>
        </w:rPr>
        <w:t>seotud juriidilised kulud</w:t>
      </w:r>
      <w:r w:rsidR="00F9198E" w:rsidRPr="008C72BF">
        <w:rPr>
          <w:rFonts w:cstheme="minorHAnsi"/>
        </w:rPr>
        <w:t>,</w:t>
      </w:r>
      <w:r w:rsidRPr="008C72BF">
        <w:rPr>
          <w:rFonts w:cstheme="minorHAnsi"/>
        </w:rPr>
        <w:t xml:space="preserve"> konsultatsioonitasud, kohustistasud</w:t>
      </w:r>
      <w:r w:rsidR="00F9198E" w:rsidRPr="008C72BF">
        <w:rPr>
          <w:rFonts w:cstheme="minorHAnsi"/>
        </w:rPr>
        <w:t xml:space="preserve"> ja intressikulud. </w:t>
      </w:r>
      <w:r w:rsidRPr="008C72BF">
        <w:rPr>
          <w:rFonts w:cstheme="minorHAnsi"/>
        </w:rPr>
        <w:t>Lisanduva kulu hinnanguliseks suuruseks Lepingu sõlmimise hetkel on 1 700 000 (üks miljon seitsesada tuhat) eurot, kuid tegelikud kulud selguvad vastavate lepingute sõlmimisel. Lisanduva kulu kannab Kultuurkapital.</w:t>
      </w:r>
    </w:p>
    <w:p w14:paraId="5AB052DF" w14:textId="77777777" w:rsidR="00E4731A" w:rsidRPr="008C72BF" w:rsidRDefault="00E4731A" w:rsidP="00E4731A">
      <w:pPr>
        <w:pStyle w:val="ListParagraph"/>
        <w:ind w:left="785"/>
        <w:jc w:val="both"/>
        <w:rPr>
          <w:rFonts w:cstheme="minorHAnsi"/>
        </w:rPr>
      </w:pPr>
    </w:p>
    <w:p w14:paraId="21AB5E53" w14:textId="61039EC7" w:rsidR="00C86BFD" w:rsidRPr="008C72BF" w:rsidRDefault="00164067" w:rsidP="006328B1">
      <w:pPr>
        <w:pStyle w:val="ListParagraph"/>
        <w:numPr>
          <w:ilvl w:val="1"/>
          <w:numId w:val="2"/>
        </w:numPr>
        <w:spacing w:after="0"/>
        <w:jc w:val="both"/>
      </w:pPr>
      <w:r w:rsidRPr="008C72BF">
        <w:lastRenderedPageBreak/>
        <w:t>L</w:t>
      </w:r>
      <w:r w:rsidR="00C86BFD" w:rsidRPr="008C72BF">
        <w:t>inna omaosaluse katteks võetava laenu teenindamisega seotud kulud katab Linn.</w:t>
      </w:r>
    </w:p>
    <w:p w14:paraId="47CF0645" w14:textId="1963B88B" w:rsidR="00C86BFD" w:rsidRPr="008C72BF" w:rsidRDefault="00095836" w:rsidP="00C86BFD">
      <w:pPr>
        <w:pStyle w:val="ListParagraph"/>
        <w:spacing w:after="0"/>
        <w:ind w:left="785"/>
        <w:jc w:val="both"/>
      </w:pPr>
      <w:r w:rsidRPr="008C72BF">
        <w:t xml:space="preserve"> </w:t>
      </w:r>
    </w:p>
    <w:p w14:paraId="20BAD442" w14:textId="319DC117" w:rsidR="006328B1" w:rsidRPr="008C72BF" w:rsidRDefault="008F1458" w:rsidP="006328B1">
      <w:pPr>
        <w:pStyle w:val="ListParagraph"/>
        <w:numPr>
          <w:ilvl w:val="1"/>
          <w:numId w:val="2"/>
        </w:numPr>
        <w:spacing w:after="0"/>
        <w:jc w:val="both"/>
      </w:pPr>
      <w:r w:rsidRPr="008C72BF">
        <w:t xml:space="preserve">Lepingu sõlmimisel juhinduvad Pooled hasartmängumaksu seadusest, Eesti Kultuurkapitali seadusest, teistest Eesti Vabariigi õigusaktidest, Riigikogu otsusest </w:t>
      </w:r>
      <w:r w:rsidRPr="008C72BF">
        <w:rPr>
          <w:bCs/>
        </w:rPr>
        <w:t>„Riiklikult tähtsate kultuuriehitiste rajamise ja renoveerimise pingerea kinnitamine“</w:t>
      </w:r>
      <w:r w:rsidRPr="008C72BF">
        <w:t xml:space="preserve"> 13. septembrist 2021 ja Kultuurkapitali nõukogu otsusest (</w:t>
      </w:r>
      <w:r w:rsidR="00095836" w:rsidRPr="008C72BF">
        <w:t>Kultuurkapitali nõukogu 05. oktoobri 2022. a</w:t>
      </w:r>
      <w:r w:rsidR="003E5AB6" w:rsidRPr="008C72BF">
        <w:t xml:space="preserve"> </w:t>
      </w:r>
      <w:r w:rsidR="00095836" w:rsidRPr="008C72BF">
        <w:t>koosoleku protokoll nr 6/2022, otsus nr</w:t>
      </w:r>
      <w:r w:rsidR="00303AA2" w:rsidRPr="008C72BF">
        <w:t xml:space="preserve"> </w:t>
      </w:r>
      <w:r w:rsidR="00A67814" w:rsidRPr="008C72BF">
        <w:t>2</w:t>
      </w:r>
      <w:r w:rsidRPr="008C72BF">
        <w:t>).</w:t>
      </w:r>
    </w:p>
    <w:p w14:paraId="3A6DAAE3" w14:textId="77777777" w:rsidR="006328B1" w:rsidRPr="008C72BF" w:rsidRDefault="006328B1" w:rsidP="006328B1">
      <w:pPr>
        <w:spacing w:after="0"/>
        <w:jc w:val="both"/>
      </w:pPr>
    </w:p>
    <w:p w14:paraId="1C41A82D" w14:textId="082B502A" w:rsidR="008F1458" w:rsidRPr="008C72BF" w:rsidRDefault="00095836" w:rsidP="006328B1">
      <w:pPr>
        <w:pStyle w:val="ListParagraph"/>
        <w:numPr>
          <w:ilvl w:val="1"/>
          <w:numId w:val="2"/>
        </w:numPr>
        <w:spacing w:after="0"/>
        <w:jc w:val="both"/>
      </w:pPr>
      <w:r w:rsidRPr="008C72BF">
        <w:t xml:space="preserve"> </w:t>
      </w:r>
      <w:r w:rsidR="008F1458" w:rsidRPr="008C72BF">
        <w:t>Arvestades, et Kultuurkapital toetab riiklikult tähtsate kultuuri</w:t>
      </w:r>
      <w:r w:rsidR="00463262" w:rsidRPr="008C72BF">
        <w:t>ehitiste</w:t>
      </w:r>
      <w:r w:rsidR="008F1458" w:rsidRPr="008C72BF">
        <w:t xml:space="preserve"> rajamist ainult hasartmängumaksu seaduse alusel </w:t>
      </w:r>
      <w:r w:rsidR="00783224" w:rsidRPr="008C72BF">
        <w:t xml:space="preserve">laekunud Sihtsummadest </w:t>
      </w:r>
      <w:r w:rsidR="008F1458" w:rsidRPr="008C72BF">
        <w:t>ja üheaegselt võib toeta</w:t>
      </w:r>
      <w:r w:rsidR="00A91AB6" w:rsidRPr="008C72BF">
        <w:t xml:space="preserve">da mitut objekti, on Pooled </w:t>
      </w:r>
      <w:r w:rsidR="00CB7516" w:rsidRPr="008C72BF">
        <w:t>Tööde eest tasumise</w:t>
      </w:r>
      <w:r w:rsidR="003E5AB6" w:rsidRPr="008C72BF">
        <w:t xml:space="preserve"> </w:t>
      </w:r>
      <w:r w:rsidR="004148DD" w:rsidRPr="008C72BF">
        <w:t xml:space="preserve">esialgse </w:t>
      </w:r>
      <w:r w:rsidR="003E5AB6" w:rsidRPr="008C72BF">
        <w:t>graafiku</w:t>
      </w:r>
      <w:r w:rsidR="008F1458" w:rsidRPr="008C72BF">
        <w:rPr>
          <w:color w:val="FF0000"/>
        </w:rPr>
        <w:t xml:space="preserve"> </w:t>
      </w:r>
      <w:r w:rsidR="008F1458" w:rsidRPr="008C72BF">
        <w:t xml:space="preserve">kokku leppinud järgmiselt: </w:t>
      </w:r>
    </w:p>
    <w:tbl>
      <w:tblPr>
        <w:tblStyle w:val="TableGrid"/>
        <w:tblW w:w="0" w:type="auto"/>
        <w:tblInd w:w="792" w:type="dxa"/>
        <w:tblLook w:val="04A0" w:firstRow="1" w:lastRow="0" w:firstColumn="1" w:lastColumn="0" w:noHBand="0" w:noVBand="1"/>
      </w:tblPr>
      <w:tblGrid>
        <w:gridCol w:w="985"/>
        <w:gridCol w:w="718"/>
        <w:gridCol w:w="718"/>
        <w:gridCol w:w="718"/>
        <w:gridCol w:w="718"/>
        <w:gridCol w:w="718"/>
        <w:gridCol w:w="718"/>
        <w:gridCol w:w="718"/>
        <w:gridCol w:w="718"/>
        <w:gridCol w:w="718"/>
        <w:gridCol w:w="823"/>
      </w:tblGrid>
      <w:tr w:rsidR="008F1458" w:rsidRPr="008C72BF" w14:paraId="11500902" w14:textId="77777777" w:rsidTr="00261DEB">
        <w:tc>
          <w:tcPr>
            <w:tcW w:w="605" w:type="dxa"/>
          </w:tcPr>
          <w:p w14:paraId="1DDD746E" w14:textId="62D37B11" w:rsidR="008F1458" w:rsidRPr="008C72BF" w:rsidRDefault="00C86BFD" w:rsidP="00677123">
            <w:pPr>
              <w:jc w:val="both"/>
            </w:pPr>
            <w:r w:rsidRPr="008C72BF">
              <w:t>P</w:t>
            </w:r>
            <w:r w:rsidR="008F1458" w:rsidRPr="008C72BF">
              <w:t>eriood</w:t>
            </w:r>
          </w:p>
        </w:tc>
        <w:tc>
          <w:tcPr>
            <w:tcW w:w="768" w:type="dxa"/>
          </w:tcPr>
          <w:p w14:paraId="53C86EA2" w14:textId="77777777" w:rsidR="008F1458" w:rsidRPr="008C72BF" w:rsidRDefault="008F1458" w:rsidP="00677123">
            <w:pPr>
              <w:jc w:val="both"/>
            </w:pPr>
            <w:r w:rsidRPr="008C72BF">
              <w:t>2022</w:t>
            </w:r>
          </w:p>
        </w:tc>
        <w:tc>
          <w:tcPr>
            <w:tcW w:w="768" w:type="dxa"/>
          </w:tcPr>
          <w:p w14:paraId="4B49326A" w14:textId="77777777" w:rsidR="008F1458" w:rsidRPr="008C72BF" w:rsidRDefault="008F1458" w:rsidP="00677123">
            <w:pPr>
              <w:jc w:val="both"/>
            </w:pPr>
            <w:r w:rsidRPr="008C72BF">
              <w:t>2023</w:t>
            </w:r>
          </w:p>
        </w:tc>
        <w:tc>
          <w:tcPr>
            <w:tcW w:w="768" w:type="dxa"/>
          </w:tcPr>
          <w:p w14:paraId="521FE61F" w14:textId="77777777" w:rsidR="008F1458" w:rsidRPr="008C72BF" w:rsidRDefault="008F1458" w:rsidP="00677123">
            <w:pPr>
              <w:jc w:val="both"/>
            </w:pPr>
            <w:r w:rsidRPr="008C72BF">
              <w:t>2024</w:t>
            </w:r>
          </w:p>
        </w:tc>
        <w:tc>
          <w:tcPr>
            <w:tcW w:w="768" w:type="dxa"/>
          </w:tcPr>
          <w:p w14:paraId="2CCC1665" w14:textId="77777777" w:rsidR="008F1458" w:rsidRPr="008C72BF" w:rsidRDefault="008F1458" w:rsidP="00677123">
            <w:pPr>
              <w:jc w:val="both"/>
            </w:pPr>
            <w:r w:rsidRPr="008C72BF">
              <w:t>2025</w:t>
            </w:r>
          </w:p>
        </w:tc>
        <w:tc>
          <w:tcPr>
            <w:tcW w:w="768" w:type="dxa"/>
          </w:tcPr>
          <w:p w14:paraId="2C83E015" w14:textId="77777777" w:rsidR="008F1458" w:rsidRPr="008C72BF" w:rsidRDefault="008F1458" w:rsidP="00677123">
            <w:pPr>
              <w:jc w:val="both"/>
            </w:pPr>
            <w:r w:rsidRPr="008C72BF">
              <w:t>2026</w:t>
            </w:r>
          </w:p>
        </w:tc>
        <w:tc>
          <w:tcPr>
            <w:tcW w:w="768" w:type="dxa"/>
          </w:tcPr>
          <w:p w14:paraId="5A3852BB" w14:textId="77777777" w:rsidR="008F1458" w:rsidRPr="008C72BF" w:rsidRDefault="008F1458" w:rsidP="00677123">
            <w:pPr>
              <w:jc w:val="both"/>
            </w:pPr>
            <w:r w:rsidRPr="008C72BF">
              <w:t>2027</w:t>
            </w:r>
          </w:p>
        </w:tc>
        <w:tc>
          <w:tcPr>
            <w:tcW w:w="768" w:type="dxa"/>
          </w:tcPr>
          <w:p w14:paraId="3DCAA640" w14:textId="77777777" w:rsidR="008F1458" w:rsidRPr="008C72BF" w:rsidRDefault="008F1458" w:rsidP="00677123">
            <w:pPr>
              <w:jc w:val="both"/>
            </w:pPr>
            <w:r w:rsidRPr="008C72BF">
              <w:t>2028</w:t>
            </w:r>
          </w:p>
        </w:tc>
        <w:tc>
          <w:tcPr>
            <w:tcW w:w="768" w:type="dxa"/>
          </w:tcPr>
          <w:p w14:paraId="2258C8AF" w14:textId="77777777" w:rsidR="008F1458" w:rsidRPr="008C72BF" w:rsidRDefault="008F1458" w:rsidP="00677123">
            <w:pPr>
              <w:jc w:val="both"/>
            </w:pPr>
            <w:r w:rsidRPr="008C72BF">
              <w:t>2029</w:t>
            </w:r>
          </w:p>
        </w:tc>
        <w:tc>
          <w:tcPr>
            <w:tcW w:w="768" w:type="dxa"/>
          </w:tcPr>
          <w:p w14:paraId="43179679" w14:textId="77777777" w:rsidR="008F1458" w:rsidRPr="008C72BF" w:rsidRDefault="008F1458" w:rsidP="00677123">
            <w:pPr>
              <w:jc w:val="both"/>
            </w:pPr>
            <w:r w:rsidRPr="008C72BF">
              <w:t>2030</w:t>
            </w:r>
          </w:p>
        </w:tc>
        <w:tc>
          <w:tcPr>
            <w:tcW w:w="753" w:type="dxa"/>
          </w:tcPr>
          <w:p w14:paraId="7AF482EF" w14:textId="77777777" w:rsidR="008F1458" w:rsidRPr="008C72BF" w:rsidRDefault="008F1458" w:rsidP="00677123">
            <w:pPr>
              <w:jc w:val="both"/>
            </w:pPr>
            <w:r w:rsidRPr="008C72BF">
              <w:t>2031</w:t>
            </w:r>
          </w:p>
        </w:tc>
      </w:tr>
      <w:tr w:rsidR="008F1458" w:rsidRPr="008C72BF" w14:paraId="11E2CAB9" w14:textId="77777777" w:rsidTr="00261DEB">
        <w:tc>
          <w:tcPr>
            <w:tcW w:w="605" w:type="dxa"/>
          </w:tcPr>
          <w:p w14:paraId="467640B5" w14:textId="77777777" w:rsidR="008F1458" w:rsidRPr="008C72BF" w:rsidRDefault="008F1458" w:rsidP="00677123">
            <w:pPr>
              <w:jc w:val="both"/>
            </w:pPr>
            <w:r w:rsidRPr="008C72BF">
              <w:t>summa*</w:t>
            </w:r>
          </w:p>
        </w:tc>
        <w:tc>
          <w:tcPr>
            <w:tcW w:w="768" w:type="dxa"/>
          </w:tcPr>
          <w:p w14:paraId="419D3552" w14:textId="77777777" w:rsidR="008F1458" w:rsidRPr="008C72BF" w:rsidRDefault="008F1458" w:rsidP="00677123">
            <w:pPr>
              <w:jc w:val="both"/>
            </w:pPr>
            <w:r w:rsidRPr="008C72BF">
              <w:t xml:space="preserve">0,2 </w:t>
            </w:r>
          </w:p>
        </w:tc>
        <w:tc>
          <w:tcPr>
            <w:tcW w:w="768" w:type="dxa"/>
          </w:tcPr>
          <w:p w14:paraId="47137543" w14:textId="77777777" w:rsidR="008F1458" w:rsidRPr="008C72BF" w:rsidRDefault="008F1458" w:rsidP="00677123">
            <w:pPr>
              <w:jc w:val="both"/>
            </w:pPr>
            <w:r w:rsidRPr="008C72BF">
              <w:t>1,0</w:t>
            </w:r>
          </w:p>
        </w:tc>
        <w:tc>
          <w:tcPr>
            <w:tcW w:w="768" w:type="dxa"/>
          </w:tcPr>
          <w:p w14:paraId="50866973" w14:textId="77777777" w:rsidR="008F1458" w:rsidRPr="008C72BF" w:rsidRDefault="008F1458" w:rsidP="00677123">
            <w:pPr>
              <w:jc w:val="both"/>
            </w:pPr>
            <w:r w:rsidRPr="008C72BF">
              <w:t>3,0</w:t>
            </w:r>
          </w:p>
        </w:tc>
        <w:tc>
          <w:tcPr>
            <w:tcW w:w="768" w:type="dxa"/>
          </w:tcPr>
          <w:p w14:paraId="4F884003" w14:textId="77777777" w:rsidR="008F1458" w:rsidRPr="008C72BF" w:rsidRDefault="008F1458" w:rsidP="00677123">
            <w:pPr>
              <w:jc w:val="both"/>
            </w:pPr>
            <w:r w:rsidRPr="008C72BF">
              <w:t>3,0</w:t>
            </w:r>
          </w:p>
        </w:tc>
        <w:tc>
          <w:tcPr>
            <w:tcW w:w="768" w:type="dxa"/>
          </w:tcPr>
          <w:p w14:paraId="390C87C2" w14:textId="77777777" w:rsidR="008F1458" w:rsidRPr="008C72BF" w:rsidRDefault="008F1458" w:rsidP="00677123">
            <w:pPr>
              <w:jc w:val="both"/>
            </w:pPr>
            <w:r w:rsidRPr="008C72BF">
              <w:t>10,0</w:t>
            </w:r>
          </w:p>
        </w:tc>
        <w:tc>
          <w:tcPr>
            <w:tcW w:w="768" w:type="dxa"/>
          </w:tcPr>
          <w:p w14:paraId="30C1010F" w14:textId="77777777" w:rsidR="008F1458" w:rsidRPr="008C72BF" w:rsidRDefault="008F1458" w:rsidP="00677123">
            <w:pPr>
              <w:jc w:val="both"/>
            </w:pPr>
            <w:r w:rsidRPr="008C72BF">
              <w:t>10,0</w:t>
            </w:r>
          </w:p>
        </w:tc>
        <w:tc>
          <w:tcPr>
            <w:tcW w:w="768" w:type="dxa"/>
          </w:tcPr>
          <w:p w14:paraId="77525F48" w14:textId="77777777" w:rsidR="008F1458" w:rsidRPr="008C72BF" w:rsidRDefault="008F1458" w:rsidP="00677123">
            <w:pPr>
              <w:jc w:val="both"/>
            </w:pPr>
            <w:r w:rsidRPr="008C72BF">
              <w:t>10,0</w:t>
            </w:r>
          </w:p>
        </w:tc>
        <w:tc>
          <w:tcPr>
            <w:tcW w:w="768" w:type="dxa"/>
          </w:tcPr>
          <w:p w14:paraId="2E1E4E42" w14:textId="77777777" w:rsidR="008F1458" w:rsidRPr="008C72BF" w:rsidRDefault="00933B87" w:rsidP="00677123">
            <w:pPr>
              <w:jc w:val="both"/>
            </w:pPr>
            <w:r w:rsidRPr="008C72BF">
              <w:t>10</w:t>
            </w:r>
            <w:r w:rsidR="008F1458" w:rsidRPr="008C72BF">
              <w:t>,0</w:t>
            </w:r>
          </w:p>
        </w:tc>
        <w:tc>
          <w:tcPr>
            <w:tcW w:w="768" w:type="dxa"/>
          </w:tcPr>
          <w:p w14:paraId="5BAD129E" w14:textId="405FA178" w:rsidR="008F1458" w:rsidRPr="008C72BF" w:rsidRDefault="004148DD" w:rsidP="00677123">
            <w:pPr>
              <w:jc w:val="both"/>
            </w:pPr>
            <w:r w:rsidRPr="008C72BF">
              <w:t>10</w:t>
            </w:r>
            <w:r w:rsidR="008F1458" w:rsidRPr="008C72BF">
              <w:t>,0</w:t>
            </w:r>
          </w:p>
        </w:tc>
        <w:tc>
          <w:tcPr>
            <w:tcW w:w="753" w:type="dxa"/>
          </w:tcPr>
          <w:p w14:paraId="19B00CAB" w14:textId="4D263AE4" w:rsidR="008F1458" w:rsidRPr="008C72BF" w:rsidRDefault="004148DD" w:rsidP="00677123">
            <w:pPr>
              <w:jc w:val="both"/>
            </w:pPr>
            <w:r w:rsidRPr="008C72BF">
              <w:t>2</w:t>
            </w:r>
            <w:r w:rsidR="003E5AB6" w:rsidRPr="008C72BF">
              <w:t>,0+**</w:t>
            </w:r>
          </w:p>
        </w:tc>
      </w:tr>
    </w:tbl>
    <w:p w14:paraId="4487E370" w14:textId="454C43FB" w:rsidR="008F1458" w:rsidRPr="008C72BF" w:rsidRDefault="008F1458" w:rsidP="00677123">
      <w:pPr>
        <w:spacing w:after="0"/>
        <w:ind w:left="792"/>
        <w:jc w:val="both"/>
      </w:pPr>
      <w:r w:rsidRPr="008C72BF">
        <w:t>*- summa miljonites</w:t>
      </w:r>
      <w:r w:rsidR="00AE55B0" w:rsidRPr="008C72BF">
        <w:t xml:space="preserve"> j</w:t>
      </w:r>
      <w:r w:rsidR="008654C8" w:rsidRPr="008C72BF">
        <w:t>a ei sisalda sildfinantseeringu teenindamise summasid</w:t>
      </w:r>
      <w:r w:rsidR="003E5AB6" w:rsidRPr="008C72BF">
        <w:t>;</w:t>
      </w:r>
    </w:p>
    <w:p w14:paraId="19D8C0C3" w14:textId="6B03EA07" w:rsidR="003E5AB6" w:rsidRPr="008C72BF" w:rsidRDefault="003E5AB6" w:rsidP="00677123">
      <w:pPr>
        <w:spacing w:after="0"/>
        <w:ind w:left="792"/>
        <w:jc w:val="both"/>
      </w:pPr>
      <w:r w:rsidRPr="008C72BF">
        <w:t xml:space="preserve">**- summa täpsustub sõltuvalt Lõppmaksumusest </w:t>
      </w:r>
    </w:p>
    <w:p w14:paraId="103609A7" w14:textId="041D0FEE" w:rsidR="00C801E3" w:rsidRPr="008C72BF" w:rsidRDefault="00C801E3" w:rsidP="00677123">
      <w:pPr>
        <w:spacing w:after="0"/>
        <w:ind w:left="792"/>
        <w:jc w:val="both"/>
      </w:pPr>
    </w:p>
    <w:p w14:paraId="2C2D1D6D" w14:textId="1F181A4F" w:rsidR="006328B1" w:rsidRPr="008C72BF" w:rsidRDefault="00C801E3" w:rsidP="00677123">
      <w:pPr>
        <w:pStyle w:val="ListParagraph"/>
        <w:numPr>
          <w:ilvl w:val="1"/>
          <w:numId w:val="2"/>
        </w:numPr>
        <w:spacing w:after="0"/>
        <w:ind w:left="792"/>
        <w:jc w:val="both"/>
      </w:pPr>
      <w:r w:rsidRPr="008C72BF">
        <w:t>Lõppmaksumuse selgudes lepitakse</w:t>
      </w:r>
      <w:r w:rsidR="00783224" w:rsidRPr="008C72BF">
        <w:t xml:space="preserve"> Lepingu lisana</w:t>
      </w:r>
      <w:r w:rsidRPr="008C72BF">
        <w:t xml:space="preserve"> kokku Tööde eest tasumise uus graafik</w:t>
      </w:r>
      <w:r w:rsidR="004148DD" w:rsidRPr="008C72BF">
        <w:t>, mis võimaldab Lõpp</w:t>
      </w:r>
      <w:r w:rsidR="00C075E9" w:rsidRPr="008C72BF">
        <w:t xml:space="preserve">maksumuse </w:t>
      </w:r>
      <w:r w:rsidR="004148DD" w:rsidRPr="008C72BF">
        <w:t>summa tasumise optimaalse aja jooksul.</w:t>
      </w:r>
    </w:p>
    <w:p w14:paraId="638266D8" w14:textId="77777777" w:rsidR="00C801E3" w:rsidRPr="008C72BF" w:rsidRDefault="00C801E3" w:rsidP="00C801E3">
      <w:pPr>
        <w:pStyle w:val="ListParagraph"/>
        <w:spacing w:after="0"/>
        <w:ind w:left="792"/>
        <w:jc w:val="both"/>
      </w:pPr>
    </w:p>
    <w:p w14:paraId="17C49439" w14:textId="77777777" w:rsidR="00783224" w:rsidRPr="008C72BF" w:rsidRDefault="00677123" w:rsidP="00783224">
      <w:pPr>
        <w:pStyle w:val="ListParagraph"/>
        <w:numPr>
          <w:ilvl w:val="1"/>
          <w:numId w:val="2"/>
        </w:numPr>
        <w:jc w:val="both"/>
      </w:pPr>
      <w:r w:rsidRPr="008C72BF">
        <w:t>Punktis 1.</w:t>
      </w:r>
      <w:r w:rsidR="00164067" w:rsidRPr="008C72BF">
        <w:t>1</w:t>
      </w:r>
      <w:r w:rsidR="00783224" w:rsidRPr="008C72BF">
        <w:t>1</w:t>
      </w:r>
      <w:r w:rsidRPr="008C72BF">
        <w:t xml:space="preserve">. </w:t>
      </w:r>
      <w:r w:rsidR="00C801E3" w:rsidRPr="008C72BF">
        <w:t>esitatud graafiku</w:t>
      </w:r>
      <w:r w:rsidRPr="008C72BF">
        <w:t xml:space="preserve"> iga-aastas</w:t>
      </w:r>
      <w:r w:rsidR="00F10D6E" w:rsidRPr="008C72BF">
        <w:t>t</w:t>
      </w:r>
      <w:r w:rsidRPr="008C72BF">
        <w:t>e väljamakse</w:t>
      </w:r>
      <w:r w:rsidR="00F10D6E" w:rsidRPr="008C72BF">
        <w:t xml:space="preserve">te summasid </w:t>
      </w:r>
      <w:r w:rsidRPr="008C72BF">
        <w:t>muudetakse</w:t>
      </w:r>
      <w:r w:rsidR="00C801E3" w:rsidRPr="008C72BF">
        <w:t xml:space="preserve"> ja lepitakse kokku uus graafik</w:t>
      </w:r>
      <w:r w:rsidR="00C075E9" w:rsidRPr="008C72BF">
        <w:t xml:space="preserve"> ka siis</w:t>
      </w:r>
      <w:r w:rsidR="00C801E3" w:rsidRPr="008C72BF">
        <w:t>,</w:t>
      </w:r>
      <w:r w:rsidRPr="008C72BF">
        <w:t xml:space="preserve"> kui hasartmängumaksu seadust muudetakse või hasartmängumaksu laekumine</w:t>
      </w:r>
      <w:r w:rsidR="00C075E9" w:rsidRPr="008C72BF">
        <w:t xml:space="preserve"> muutub</w:t>
      </w:r>
      <w:r w:rsidRPr="008C72BF">
        <w:t xml:space="preserve"> sedavõrd, et riigieelarve seadusega Kultuurkapitalile riiklikult tähtsate kultuuri</w:t>
      </w:r>
      <w:r w:rsidR="00463262" w:rsidRPr="008C72BF">
        <w:t>ehitiste</w:t>
      </w:r>
      <w:r w:rsidRPr="008C72BF">
        <w:t xml:space="preserve"> rajamiseks ja renoveerimiseks ette nähtud sihtsummad ei võimalda Lepingu punktis 1.</w:t>
      </w:r>
      <w:r w:rsidR="00B54767" w:rsidRPr="008C72BF">
        <w:t>1</w:t>
      </w:r>
      <w:r w:rsidR="00783224" w:rsidRPr="008C72BF">
        <w:t>1</w:t>
      </w:r>
      <w:r w:rsidRPr="008C72BF">
        <w:t>. tood</w:t>
      </w:r>
      <w:r w:rsidR="00A91AB6" w:rsidRPr="008C72BF">
        <w:t>ud graafiku</w:t>
      </w:r>
      <w:r w:rsidR="00C075E9" w:rsidRPr="008C72BF">
        <w:t>, või Lepingu punkti 1.1</w:t>
      </w:r>
      <w:r w:rsidR="00783224" w:rsidRPr="008C72BF">
        <w:t>2</w:t>
      </w:r>
      <w:r w:rsidR="00C075E9" w:rsidRPr="008C72BF">
        <w:t xml:space="preserve"> </w:t>
      </w:r>
      <w:r w:rsidR="00A91AB6" w:rsidRPr="008C72BF">
        <w:t xml:space="preserve"> alusel</w:t>
      </w:r>
      <w:r w:rsidR="00C075E9" w:rsidRPr="008C72BF">
        <w:t xml:space="preserve"> muudetud graafiku järgi</w:t>
      </w:r>
      <w:r w:rsidR="00A91AB6" w:rsidRPr="008C72BF">
        <w:t xml:space="preserve"> Kultuurikeskuse väljaar</w:t>
      </w:r>
      <w:r w:rsidRPr="008C72BF">
        <w:t>endamist toetada. Muutustega kaasnevad kulud, mis sisaldavad muuhulgas, kuid mitte ainult, sõlmitud sildfinantseerimise lepingute muutmisega seotud kulusid</w:t>
      </w:r>
      <w:r w:rsidR="006328B1" w:rsidRPr="008C72BF">
        <w:t>, katab Kultuurkapital.</w:t>
      </w:r>
    </w:p>
    <w:p w14:paraId="6B770B66" w14:textId="77777777" w:rsidR="00783224" w:rsidRPr="008C72BF" w:rsidRDefault="00783224" w:rsidP="00783224">
      <w:pPr>
        <w:pStyle w:val="ListParagraph"/>
      </w:pPr>
    </w:p>
    <w:p w14:paraId="78C57DC7" w14:textId="17FE7469" w:rsidR="00677123" w:rsidRPr="008C72BF" w:rsidRDefault="00677123" w:rsidP="00783224">
      <w:pPr>
        <w:pStyle w:val="ListParagraph"/>
        <w:numPr>
          <w:ilvl w:val="1"/>
          <w:numId w:val="2"/>
        </w:numPr>
        <w:jc w:val="both"/>
      </w:pPr>
      <w:r w:rsidRPr="008C72BF">
        <w:t xml:space="preserve">Kui Linnal jääb </w:t>
      </w:r>
      <w:r w:rsidR="007C7533" w:rsidRPr="008C72BF">
        <w:t xml:space="preserve">mõnel aasta </w:t>
      </w:r>
      <w:r w:rsidRPr="008C72BF">
        <w:t>punktis 1.</w:t>
      </w:r>
      <w:r w:rsidR="00B54767" w:rsidRPr="008C72BF">
        <w:t>1</w:t>
      </w:r>
      <w:r w:rsidR="00783224" w:rsidRPr="008C72BF">
        <w:t>1</w:t>
      </w:r>
      <w:r w:rsidRPr="008C72BF">
        <w:t>. nimetatud mahus kulusid kandmata ja vastavalt toetus saamata eelkõige põhjusel, et kulude tegemise aega ei olnud võimalik käesoleva Lepingu sõlmimise ajal täpselt prognoosida, kantakse vastav toetuse osa üle järgmistesse aastatesse ja antakse Linnale vastavate kulude tegemise aastal.</w:t>
      </w:r>
    </w:p>
    <w:p w14:paraId="4B77361A" w14:textId="77777777" w:rsidR="00677123" w:rsidRPr="008C72BF" w:rsidRDefault="00677123" w:rsidP="00677123">
      <w:pPr>
        <w:spacing w:after="0"/>
        <w:ind w:left="720"/>
        <w:jc w:val="both"/>
      </w:pPr>
    </w:p>
    <w:p w14:paraId="37635232" w14:textId="77777777" w:rsidR="00182F7D" w:rsidRPr="008C72BF" w:rsidRDefault="00677123" w:rsidP="006328B1">
      <w:pPr>
        <w:numPr>
          <w:ilvl w:val="0"/>
          <w:numId w:val="2"/>
        </w:numPr>
        <w:spacing w:after="0"/>
        <w:jc w:val="both"/>
        <w:rPr>
          <w:b/>
        </w:rPr>
      </w:pPr>
      <w:r w:rsidRPr="008C72BF">
        <w:rPr>
          <w:b/>
        </w:rPr>
        <w:t>Toetuse väljamaksete tegemise regulatsioon</w:t>
      </w:r>
    </w:p>
    <w:p w14:paraId="78551E54" w14:textId="77777777" w:rsidR="006328B1" w:rsidRPr="008C72BF" w:rsidRDefault="006328B1" w:rsidP="006328B1">
      <w:pPr>
        <w:spacing w:after="0"/>
        <w:ind w:left="720"/>
        <w:jc w:val="both"/>
        <w:rPr>
          <w:b/>
        </w:rPr>
      </w:pPr>
    </w:p>
    <w:p w14:paraId="730BB817" w14:textId="7609BE88" w:rsidR="00907CB7" w:rsidRPr="008C72BF" w:rsidRDefault="00E32777" w:rsidP="00E46656">
      <w:pPr>
        <w:pStyle w:val="ListParagraph"/>
        <w:numPr>
          <w:ilvl w:val="1"/>
          <w:numId w:val="2"/>
        </w:numPr>
        <w:jc w:val="both"/>
      </w:pPr>
      <w:bookmarkStart w:id="1" w:name="_Ref37138383"/>
      <w:r w:rsidRPr="008C72BF">
        <w:t xml:space="preserve"> </w:t>
      </w:r>
      <w:bookmarkEnd w:id="1"/>
      <w:r w:rsidR="00907CB7" w:rsidRPr="008C72BF">
        <w:t>Linn esitab Kultuurkapitalile väljamaksetaotlusi kuni 12 korda aastas, kuid</w:t>
      </w:r>
      <w:r w:rsidR="00534CA7" w:rsidRPr="008C72BF">
        <w:t xml:space="preserve"> mitte suuremas</w:t>
      </w:r>
      <w:r w:rsidR="00907CB7" w:rsidRPr="008C72BF">
        <w:t xml:space="preserve"> summas aasta kohta, kui on näidatud Lepingu punkt 1.</w:t>
      </w:r>
      <w:r w:rsidR="00B54767" w:rsidRPr="008C72BF">
        <w:t>1</w:t>
      </w:r>
      <w:r w:rsidR="00783224" w:rsidRPr="008C72BF">
        <w:t>1</w:t>
      </w:r>
      <w:r w:rsidR="00907CB7" w:rsidRPr="008C72BF">
        <w:t>. toodud graafikus</w:t>
      </w:r>
      <w:r w:rsidR="00C075E9" w:rsidRPr="008C72BF">
        <w:t xml:space="preserve"> või Lepingu punkti 1.1</w:t>
      </w:r>
      <w:r w:rsidR="00783224" w:rsidRPr="008C72BF">
        <w:t>2</w:t>
      </w:r>
      <w:r w:rsidR="00C075E9" w:rsidRPr="008C72BF">
        <w:t xml:space="preserve"> alusel muudetud </w:t>
      </w:r>
      <w:r w:rsidR="007C7533" w:rsidRPr="008C72BF">
        <w:t>graafikus,</w:t>
      </w:r>
      <w:r w:rsidR="00534CA7" w:rsidRPr="008C72BF">
        <w:t xml:space="preserve"> välja arvatud juhul, kui esineb punktis 1.1</w:t>
      </w:r>
      <w:r w:rsidR="00783224" w:rsidRPr="008C72BF">
        <w:t>4</w:t>
      </w:r>
      <w:r w:rsidR="00534CA7" w:rsidRPr="008C72BF">
        <w:t>. nimetatud olukord.</w:t>
      </w:r>
      <w:r w:rsidR="00A21177" w:rsidRPr="008C72BF">
        <w:t xml:space="preserve"> </w:t>
      </w:r>
      <w:r w:rsidR="00D431DE" w:rsidRPr="008C72BF">
        <w:t xml:space="preserve">Sildfinantseeringu võtmise hetkest lisandub Lisanduva kulu maht. </w:t>
      </w:r>
      <w:r w:rsidR="00A21177" w:rsidRPr="008C72BF">
        <w:t>Väljamaksetaotlus esitatakse järgmistel tingimustel:</w:t>
      </w:r>
    </w:p>
    <w:p w14:paraId="23A233A2" w14:textId="6913BB5B" w:rsidR="00F8269E" w:rsidRPr="008C72BF" w:rsidRDefault="00A91AB6" w:rsidP="00F8269E">
      <w:pPr>
        <w:pStyle w:val="ListParagraph"/>
        <w:numPr>
          <w:ilvl w:val="2"/>
          <w:numId w:val="2"/>
        </w:numPr>
        <w:jc w:val="both"/>
      </w:pPr>
      <w:r w:rsidRPr="008C72BF">
        <w:t>Kultuurikeskuse</w:t>
      </w:r>
      <w:r w:rsidR="00F1022B" w:rsidRPr="008C72BF">
        <w:t xml:space="preserve"> </w:t>
      </w:r>
      <w:r w:rsidR="00B01427" w:rsidRPr="008C72BF">
        <w:t>valmimiseni</w:t>
      </w:r>
      <w:r w:rsidR="00907CB7" w:rsidRPr="008C72BF">
        <w:t>, esitab L</w:t>
      </w:r>
      <w:r w:rsidR="008654C8" w:rsidRPr="008C72BF">
        <w:t xml:space="preserve">inn Kultuurkapitalile </w:t>
      </w:r>
      <w:r w:rsidR="00F8269E" w:rsidRPr="008C72BF">
        <w:t>väljamaksetaotluse tõendades peri</w:t>
      </w:r>
      <w:r w:rsidR="00325070" w:rsidRPr="008C72BF">
        <w:t>oodil tehtud T</w:t>
      </w:r>
      <w:r w:rsidR="00F8269E" w:rsidRPr="008C72BF">
        <w:t xml:space="preserve">ööde kulusid </w:t>
      </w:r>
      <w:r w:rsidR="00B54767" w:rsidRPr="008C72BF">
        <w:t xml:space="preserve">(a) </w:t>
      </w:r>
      <w:r w:rsidR="00325070" w:rsidRPr="008C72BF">
        <w:t>T</w:t>
      </w:r>
      <w:r w:rsidR="00907CB7" w:rsidRPr="008C72BF">
        <w:t xml:space="preserve">ööde teostamise </w:t>
      </w:r>
      <w:r w:rsidR="006328B1" w:rsidRPr="008C72BF">
        <w:t>aktide</w:t>
      </w:r>
      <w:r w:rsidR="00D431DE" w:rsidRPr="008C72BF">
        <w:t>,</w:t>
      </w:r>
      <w:r w:rsidR="00325070" w:rsidRPr="008C72BF">
        <w:t xml:space="preserve"> </w:t>
      </w:r>
      <w:r w:rsidR="00B54767" w:rsidRPr="008C72BF">
        <w:t xml:space="preserve">(b) </w:t>
      </w:r>
      <w:r w:rsidR="00325070" w:rsidRPr="008C72BF">
        <w:t>muu</w:t>
      </w:r>
      <w:r w:rsidR="00F8269E" w:rsidRPr="008C72BF">
        <w:t>d</w:t>
      </w:r>
      <w:r w:rsidR="00325070" w:rsidRPr="008C72BF">
        <w:t>e</w:t>
      </w:r>
      <w:r w:rsidR="00B54767" w:rsidRPr="008C72BF">
        <w:t xml:space="preserve"> Tööde</w:t>
      </w:r>
      <w:r w:rsidR="00F8269E" w:rsidRPr="008C72BF">
        <w:t xml:space="preserve"> kulu olemasolu tõendavate dokumentidega</w:t>
      </w:r>
      <w:r w:rsidR="00520AFA" w:rsidRPr="008C72BF">
        <w:t xml:space="preserve"> ning sildfinantseeringu kulusid</w:t>
      </w:r>
      <w:r w:rsidR="00D431DE" w:rsidRPr="008C72BF">
        <w:t xml:space="preserve"> </w:t>
      </w:r>
      <w:r w:rsidR="00B54767" w:rsidRPr="008C72BF">
        <w:t xml:space="preserve">(c) </w:t>
      </w:r>
      <w:r w:rsidR="008654C8" w:rsidRPr="008C72BF">
        <w:t xml:space="preserve">sildfinantseeringu </w:t>
      </w:r>
      <w:r w:rsidR="00B54767" w:rsidRPr="008C72BF">
        <w:t>tagastamis</w:t>
      </w:r>
      <w:r w:rsidR="00520AFA" w:rsidRPr="008C72BF">
        <w:t xml:space="preserve">t </w:t>
      </w:r>
      <w:r w:rsidR="00B54767" w:rsidRPr="008C72BF">
        <w:t>tõendavate dokumentide ja (d) sildfina</w:t>
      </w:r>
      <w:r w:rsidR="00085790" w:rsidRPr="008C72BF">
        <w:t>n</w:t>
      </w:r>
      <w:r w:rsidR="00B54767" w:rsidRPr="008C72BF">
        <w:t xml:space="preserve">tseeringu </w:t>
      </w:r>
      <w:r w:rsidR="008654C8" w:rsidRPr="008C72BF">
        <w:t>teenindamise</w:t>
      </w:r>
      <w:r w:rsidR="00B54767" w:rsidRPr="008C72BF">
        <w:t xml:space="preserve"> </w:t>
      </w:r>
      <w:r w:rsidR="00534CA7" w:rsidRPr="008C72BF">
        <w:t>kulu</w:t>
      </w:r>
      <w:r w:rsidR="00325070" w:rsidRPr="008C72BF">
        <w:t xml:space="preserve"> tõendavate dokumentidega</w:t>
      </w:r>
      <w:r w:rsidR="00F8269E" w:rsidRPr="008C72BF">
        <w:t>;</w:t>
      </w:r>
    </w:p>
    <w:p w14:paraId="3CD5F77B" w14:textId="0AE33808" w:rsidR="006328B1" w:rsidRPr="008C72BF" w:rsidRDefault="00520AFA" w:rsidP="001D1B38">
      <w:pPr>
        <w:pStyle w:val="ListParagraph"/>
        <w:numPr>
          <w:ilvl w:val="2"/>
          <w:numId w:val="2"/>
        </w:numPr>
        <w:jc w:val="both"/>
      </w:pPr>
      <w:r w:rsidRPr="008C72BF">
        <w:t xml:space="preserve">kui </w:t>
      </w:r>
      <w:r w:rsidR="00A91AB6" w:rsidRPr="008C72BF">
        <w:t>Kultuurikeskuse</w:t>
      </w:r>
      <w:r w:rsidR="00F8269E" w:rsidRPr="008C72BF">
        <w:t xml:space="preserve"> </w:t>
      </w:r>
      <w:r w:rsidR="00325070" w:rsidRPr="008C72BF">
        <w:t xml:space="preserve">ehitamine on lõppenud ja ehitamisega seotud maksed tasutud, </w:t>
      </w:r>
      <w:r w:rsidR="00F8269E" w:rsidRPr="008C72BF">
        <w:t xml:space="preserve">esitab Linn väljamaksetaotluse </w:t>
      </w:r>
      <w:r w:rsidRPr="008C72BF">
        <w:t>sildfina</w:t>
      </w:r>
      <w:r w:rsidR="00F63C3C" w:rsidRPr="008C72BF">
        <w:t>n</w:t>
      </w:r>
      <w:r w:rsidRPr="008C72BF">
        <w:t xml:space="preserve">tseerimise kuludega esitades </w:t>
      </w:r>
      <w:r w:rsidR="00B54767" w:rsidRPr="008C72BF">
        <w:t>(</w:t>
      </w:r>
      <w:r w:rsidR="00D431DE" w:rsidRPr="008C72BF">
        <w:t xml:space="preserve">a) sildfinantseeringu </w:t>
      </w:r>
      <w:r w:rsidR="00D431DE" w:rsidRPr="008C72BF">
        <w:lastRenderedPageBreak/>
        <w:t>tagastamis</w:t>
      </w:r>
      <w:r w:rsidRPr="008C72BF">
        <w:t>t</w:t>
      </w:r>
      <w:r w:rsidR="00D431DE" w:rsidRPr="008C72BF">
        <w:t xml:space="preserve"> tõendava</w:t>
      </w:r>
      <w:r w:rsidRPr="008C72BF">
        <w:t>d</w:t>
      </w:r>
      <w:r w:rsidR="00D431DE" w:rsidRPr="008C72BF">
        <w:t xml:space="preserve"> dokumen</w:t>
      </w:r>
      <w:r w:rsidRPr="008C72BF">
        <w:t>did</w:t>
      </w:r>
      <w:r w:rsidR="00D431DE" w:rsidRPr="008C72BF">
        <w:t xml:space="preserve"> ja (b) sildfina</w:t>
      </w:r>
      <w:r w:rsidR="00F63C3C" w:rsidRPr="008C72BF">
        <w:t>n</w:t>
      </w:r>
      <w:r w:rsidR="00D431DE" w:rsidRPr="008C72BF">
        <w:t>tseeringu teenindamise kulu tõendava</w:t>
      </w:r>
      <w:r w:rsidRPr="008C72BF">
        <w:t>d</w:t>
      </w:r>
      <w:r w:rsidR="00D431DE" w:rsidRPr="008C72BF">
        <w:t xml:space="preserve"> dokumen</w:t>
      </w:r>
      <w:r w:rsidR="00F63C3C" w:rsidRPr="008C72BF">
        <w:t>d</w:t>
      </w:r>
      <w:r w:rsidR="00D431DE" w:rsidRPr="008C72BF">
        <w:t>id</w:t>
      </w:r>
      <w:r w:rsidR="00E46656" w:rsidRPr="008C72BF">
        <w:t>.</w:t>
      </w:r>
    </w:p>
    <w:p w14:paraId="2D5F8132" w14:textId="77777777" w:rsidR="00534CA7" w:rsidRPr="008C72BF" w:rsidRDefault="00534CA7" w:rsidP="00534CA7">
      <w:pPr>
        <w:pStyle w:val="ListParagraph"/>
        <w:ind w:left="1080"/>
        <w:jc w:val="both"/>
      </w:pPr>
    </w:p>
    <w:p w14:paraId="01F2DD8B" w14:textId="21EAAE01" w:rsidR="00A47956" w:rsidRPr="008C72BF" w:rsidRDefault="0057114A" w:rsidP="00810900">
      <w:pPr>
        <w:pStyle w:val="ListParagraph"/>
        <w:numPr>
          <w:ilvl w:val="1"/>
          <w:numId w:val="2"/>
        </w:numPr>
        <w:jc w:val="both"/>
      </w:pPr>
      <w:r w:rsidRPr="008C72BF">
        <w:t xml:space="preserve"> </w:t>
      </w:r>
      <w:r w:rsidR="00F8269E" w:rsidRPr="008C72BF">
        <w:t>Punktis 2.1.</w:t>
      </w:r>
      <w:r w:rsidR="00A21177" w:rsidRPr="008C72BF">
        <w:t>1</w:t>
      </w:r>
      <w:r w:rsidR="00F8269E" w:rsidRPr="008C72BF">
        <w:t>.</w:t>
      </w:r>
      <w:r w:rsidR="00A47956" w:rsidRPr="008C72BF">
        <w:t xml:space="preserve"> ja 2.1.</w:t>
      </w:r>
      <w:r w:rsidR="00A21177" w:rsidRPr="008C72BF">
        <w:t>2</w:t>
      </w:r>
      <w:r w:rsidR="00A47956" w:rsidRPr="008C72BF">
        <w:t>.</w:t>
      </w:r>
      <w:r w:rsidR="00F8269E" w:rsidRPr="008C72BF">
        <w:t xml:space="preserve"> nimetatud väljamaksetaotluse saamisel kohustub Kultuurkapital toetuse välja maksma 10 päeva jooksul</w:t>
      </w:r>
      <w:r w:rsidR="00A47956" w:rsidRPr="008C72BF">
        <w:t>. Kultuurkapitalil on õigus analüüsida väljamaksetaotluses nimetatud kulude vastavus</w:t>
      </w:r>
      <w:r w:rsidR="00520AFA" w:rsidRPr="008C72BF">
        <w:t>t muuhulgas</w:t>
      </w:r>
      <w:r w:rsidR="00A47956" w:rsidRPr="008C72BF">
        <w:t xml:space="preserve"> Lepingu lisas nr</w:t>
      </w:r>
      <w:r w:rsidR="00534CA7" w:rsidRPr="008C72BF">
        <w:t xml:space="preserve"> </w:t>
      </w:r>
      <w:r w:rsidR="00A47956" w:rsidRPr="008C72BF">
        <w:t xml:space="preserve"> 1 sätestatule ja küsida tehtud kulude kohta täiendavat informatsiooni. Kui Kultuurkapital jääb kulude vastavuse osas eriarvamusele, teeb ta küll väljamakse, kuid võib selle järgmise väljamaksega tasaarveldada. Eriarvamuste korral aktsepteerivad Pooled </w:t>
      </w:r>
      <w:proofErr w:type="spellStart"/>
      <w:r w:rsidR="00A47956" w:rsidRPr="008C72BF">
        <w:t>KPMG</w:t>
      </w:r>
      <w:proofErr w:type="spellEnd"/>
      <w:r w:rsidR="00A47956" w:rsidRPr="008C72BF">
        <w:t xml:space="preserve"> Baltics OÜ arvamust kulude vastavuse osas.</w:t>
      </w:r>
    </w:p>
    <w:p w14:paraId="44AA259A" w14:textId="77777777" w:rsidR="00810900" w:rsidRPr="008C72BF" w:rsidRDefault="00810900" w:rsidP="00810900">
      <w:pPr>
        <w:numPr>
          <w:ilvl w:val="0"/>
          <w:numId w:val="2"/>
        </w:numPr>
        <w:jc w:val="both"/>
        <w:rPr>
          <w:b/>
        </w:rPr>
      </w:pPr>
      <w:r w:rsidRPr="008C72BF">
        <w:rPr>
          <w:b/>
        </w:rPr>
        <w:t>Riigiabi</w:t>
      </w:r>
    </w:p>
    <w:p w14:paraId="4E716707" w14:textId="78ECC519" w:rsidR="00810900" w:rsidRPr="008C72BF" w:rsidRDefault="00810900" w:rsidP="00810900">
      <w:pPr>
        <w:pStyle w:val="ListParagraph"/>
        <w:numPr>
          <w:ilvl w:val="1"/>
          <w:numId w:val="2"/>
        </w:numPr>
        <w:jc w:val="both"/>
      </w:pPr>
      <w:r w:rsidRPr="008C72BF">
        <w:t xml:space="preserve"> Kultuurkapitali osa Lõppmaksumusest ning Lisanduv kulu on riigiabi ning selle andmisel lähtutakse Euroopa Komisjoni riigiabi reguleerivatest õigusaktidest, eelkõige Euroopa Komisjoni määrusest (EL) nr 651/2014 ELi aluslepingu artiklite 107 ja 108 kohaldamise kohta, millega teatavat liiki abi tunnistatakse siseturuga kokkusobivaks (</w:t>
      </w:r>
      <w:proofErr w:type="spellStart"/>
      <w:r w:rsidRPr="008C72BF">
        <w:t>ELT</w:t>
      </w:r>
      <w:proofErr w:type="spellEnd"/>
      <w:r w:rsidRPr="008C72BF">
        <w:t xml:space="preserve"> L 187, 26.06.2014).</w:t>
      </w:r>
      <w:r w:rsidR="00D302FE" w:rsidRPr="008C72BF">
        <w:t xml:space="preserve"> Kultuurkapital kohustub Euroopa Komisjoni teavitama riigiabi andmisest.</w:t>
      </w:r>
    </w:p>
    <w:p w14:paraId="09971E4F" w14:textId="77777777" w:rsidR="00810900" w:rsidRPr="008C72BF" w:rsidRDefault="00810900" w:rsidP="00810900">
      <w:pPr>
        <w:pStyle w:val="ListParagraph"/>
        <w:ind w:left="785"/>
        <w:jc w:val="both"/>
      </w:pPr>
    </w:p>
    <w:p w14:paraId="22253651" w14:textId="18798F36" w:rsidR="00810900" w:rsidRPr="008C72BF" w:rsidRDefault="00810900" w:rsidP="00810900">
      <w:pPr>
        <w:pStyle w:val="ListParagraph"/>
        <w:numPr>
          <w:ilvl w:val="1"/>
          <w:numId w:val="2"/>
        </w:numPr>
        <w:jc w:val="both"/>
      </w:pPr>
      <w:r w:rsidRPr="008C72BF">
        <w:t>Kultuurkapital on kohustatud säilitama riigiabi andmisega seotud dokumente 10 aastat pärast viimase makse tegemist.</w:t>
      </w:r>
    </w:p>
    <w:p w14:paraId="0A77C896" w14:textId="77777777" w:rsidR="00810900" w:rsidRPr="008C72BF" w:rsidRDefault="00810900" w:rsidP="00810900">
      <w:pPr>
        <w:pStyle w:val="ListParagraph"/>
        <w:ind w:left="785"/>
        <w:jc w:val="both"/>
      </w:pPr>
    </w:p>
    <w:p w14:paraId="096A1EAE" w14:textId="0516161B" w:rsidR="00810900" w:rsidRPr="008C72BF" w:rsidRDefault="00810900" w:rsidP="00A47956">
      <w:pPr>
        <w:pStyle w:val="ListParagraph"/>
        <w:numPr>
          <w:ilvl w:val="0"/>
          <w:numId w:val="2"/>
        </w:numPr>
        <w:jc w:val="both"/>
        <w:rPr>
          <w:b/>
        </w:rPr>
      </w:pPr>
      <w:r w:rsidRPr="008C72BF">
        <w:rPr>
          <w:b/>
        </w:rPr>
        <w:t>Muud Poolte kohustused</w:t>
      </w:r>
    </w:p>
    <w:p w14:paraId="5D29D398" w14:textId="0113D3E6" w:rsidR="00A47956" w:rsidRPr="008C72BF" w:rsidRDefault="00585F04" w:rsidP="00585F04">
      <w:pPr>
        <w:numPr>
          <w:ilvl w:val="1"/>
          <w:numId w:val="2"/>
        </w:numPr>
        <w:spacing w:after="0"/>
        <w:jc w:val="both"/>
      </w:pPr>
      <w:r w:rsidRPr="008C72BF">
        <w:t xml:space="preserve"> </w:t>
      </w:r>
      <w:r w:rsidR="00A47956" w:rsidRPr="008C72BF">
        <w:t>Linn kohustub:</w:t>
      </w:r>
    </w:p>
    <w:p w14:paraId="28A74D9B" w14:textId="277B4A32" w:rsidR="00A47956" w:rsidRPr="008C72BF" w:rsidRDefault="00A47956" w:rsidP="00A47956">
      <w:pPr>
        <w:pStyle w:val="ListParagraph"/>
        <w:numPr>
          <w:ilvl w:val="2"/>
          <w:numId w:val="2"/>
        </w:numPr>
        <w:spacing w:after="0"/>
        <w:jc w:val="both"/>
      </w:pPr>
      <w:bookmarkStart w:id="2" w:name="_Ref30532205"/>
      <w:r w:rsidRPr="008C72BF">
        <w:t xml:space="preserve">organiseerima tellijana </w:t>
      </w:r>
      <w:r w:rsidR="00A91AB6" w:rsidRPr="008C72BF">
        <w:t>Kultuurikeskuse</w:t>
      </w:r>
      <w:r w:rsidRPr="008C72BF">
        <w:t xml:space="preserve"> väljaarendamiseks vajalikud tegevused, sh detailplaneeringu koostamise, arhitektuurivõistluse läbiviimise, vajalike uuringute tegemise, </w:t>
      </w:r>
      <w:r w:rsidR="002170B6" w:rsidRPr="008C72BF">
        <w:t xml:space="preserve">projekteerimise, </w:t>
      </w:r>
      <w:r w:rsidRPr="008C72BF">
        <w:t>ehitamise</w:t>
      </w:r>
      <w:r w:rsidR="0045380A" w:rsidRPr="008C72BF">
        <w:t xml:space="preserve">, liitumistasude maksmise, </w:t>
      </w:r>
      <w:r w:rsidR="002170B6" w:rsidRPr="008C72BF">
        <w:t>sisustamise</w:t>
      </w:r>
      <w:r w:rsidR="0045380A" w:rsidRPr="008C72BF">
        <w:t>, tehnika ja tehnoloogia paigaldamise</w:t>
      </w:r>
      <w:r w:rsidRPr="008C72BF">
        <w:t xml:space="preserve"> </w:t>
      </w:r>
      <w:r w:rsidR="0045380A" w:rsidRPr="008C72BF">
        <w:t xml:space="preserve">ning omanikujärelevalve, autorijärelevalve ja vajalike ekspertiiside korraldamise </w:t>
      </w:r>
      <w:r w:rsidRPr="008C72BF">
        <w:t>rakendades oma valduses olevaid materiaalseid vahendeid ja oma parimaid teadmisi;</w:t>
      </w:r>
    </w:p>
    <w:p w14:paraId="3559068E" w14:textId="65F29D7B" w:rsidR="00A47956" w:rsidRPr="008C72BF" w:rsidRDefault="00A47956" w:rsidP="00A47956">
      <w:pPr>
        <w:pStyle w:val="ListParagraph"/>
        <w:numPr>
          <w:ilvl w:val="2"/>
          <w:numId w:val="2"/>
        </w:numPr>
        <w:spacing w:after="0"/>
        <w:jc w:val="both"/>
      </w:pPr>
      <w:r w:rsidRPr="008C72BF">
        <w:t xml:space="preserve">professionaalse tellijana tegutsema hoolikalt ja säästlikult, tagades </w:t>
      </w:r>
      <w:r w:rsidR="00A91AB6" w:rsidRPr="008C72BF">
        <w:t>Kultuurikeskuse</w:t>
      </w:r>
      <w:r w:rsidRPr="008C72BF">
        <w:t xml:space="preserve"> väljaarendamise võimalikult kvaliteetselt, kiiresti ning </w:t>
      </w:r>
      <w:r w:rsidR="004148DD" w:rsidRPr="008C72BF">
        <w:t>mõistlike</w:t>
      </w:r>
      <w:r w:rsidRPr="008C72BF">
        <w:t xml:space="preserve"> kuludega;</w:t>
      </w:r>
    </w:p>
    <w:p w14:paraId="335D47DC" w14:textId="2ED8EF55" w:rsidR="00A47956" w:rsidRPr="008C72BF" w:rsidRDefault="00A47956" w:rsidP="00796F5C">
      <w:pPr>
        <w:pStyle w:val="ListParagraph"/>
        <w:numPr>
          <w:ilvl w:val="2"/>
          <w:numId w:val="2"/>
        </w:numPr>
        <w:spacing w:after="0"/>
        <w:jc w:val="both"/>
      </w:pPr>
      <w:r w:rsidRPr="008C72BF">
        <w:t xml:space="preserve"> teavitama Kultuurkapitali koheselt, kui ilmneb mistahes rahaliste vahendite väärkasutus (või väärkasutusoht) </w:t>
      </w:r>
      <w:r w:rsidR="002E25DF" w:rsidRPr="008C72BF">
        <w:t>T</w:t>
      </w:r>
      <w:r w:rsidRPr="008C72BF">
        <w:t>ööde tellimisel või teostamisel, samuti kui esineb probleeme ehitustööde kvaliteedi või tähtaegse valmimise osas</w:t>
      </w:r>
      <w:r w:rsidR="008041C4" w:rsidRPr="008C72BF">
        <w:t>;</w:t>
      </w:r>
    </w:p>
    <w:p w14:paraId="5980EFA9" w14:textId="04B5C571" w:rsidR="00534CA7" w:rsidRPr="008C72BF" w:rsidRDefault="00A87E37" w:rsidP="00CC5E31">
      <w:pPr>
        <w:pStyle w:val="ListParagraph"/>
        <w:numPr>
          <w:ilvl w:val="2"/>
          <w:numId w:val="2"/>
        </w:numPr>
        <w:spacing w:after="0"/>
        <w:jc w:val="both"/>
      </w:pPr>
      <w:r w:rsidRPr="008C72BF">
        <w:t xml:space="preserve">andma Kultuurkapitalile regulaarselt vähemalt üks kord kuus kirjaliku ülevaate Kultuurikeskuse väljaarendamise tegevustest ning jagama </w:t>
      </w:r>
      <w:r w:rsidR="007A6A13" w:rsidRPr="008C72BF">
        <w:t xml:space="preserve">Kultuurkapitali soovil </w:t>
      </w:r>
      <w:r w:rsidRPr="008C72BF">
        <w:t>oluliste arendustegevustega</w:t>
      </w:r>
      <w:r w:rsidR="00783224" w:rsidRPr="008C72BF">
        <w:t xml:space="preserve"> (</w:t>
      </w:r>
      <w:r w:rsidR="00CC5E31" w:rsidRPr="008C72BF">
        <w:t>eelkõige arhitektuurivõistlus, projekteerimi</w:t>
      </w:r>
      <w:r w:rsidRPr="008C72BF">
        <w:t>n</w:t>
      </w:r>
      <w:r w:rsidR="00CC5E31" w:rsidRPr="008C72BF">
        <w:t>e ja ehitami</w:t>
      </w:r>
      <w:r w:rsidRPr="008C72BF">
        <w:t>ne</w:t>
      </w:r>
      <w:r w:rsidR="00CC5E31" w:rsidRPr="008C72BF">
        <w:t xml:space="preserve"> ning nimetatud tegevustega seotud finant</w:t>
      </w:r>
      <w:r w:rsidR="007022DC" w:rsidRPr="008C72BF">
        <w:t>s</w:t>
      </w:r>
      <w:r w:rsidR="00CC5E31" w:rsidRPr="008C72BF">
        <w:t>eerimistehingu</w:t>
      </w:r>
      <w:r w:rsidRPr="008C72BF">
        <w:t>d</w:t>
      </w:r>
      <w:r w:rsidR="00783224" w:rsidRPr="008C72BF">
        <w:t xml:space="preserve">) </w:t>
      </w:r>
      <w:r w:rsidR="00CC5E31" w:rsidRPr="008C72BF">
        <w:t>seotud protokolle, otsuseid ja muid dokumente</w:t>
      </w:r>
      <w:r w:rsidRPr="008C72BF">
        <w:t xml:space="preserve"> ning vajadusel tutvustama nimetatud tegevusi </w:t>
      </w:r>
      <w:r w:rsidR="00DD72D9" w:rsidRPr="008C72BF">
        <w:t xml:space="preserve">enne otsustuste lõplikku tegemist </w:t>
      </w:r>
      <w:r w:rsidRPr="008C72BF">
        <w:t>Kultuurkapitali nõukogu</w:t>
      </w:r>
      <w:r w:rsidR="00DD72D9" w:rsidRPr="008C72BF">
        <w:t>s</w:t>
      </w:r>
      <w:r w:rsidRPr="008C72BF">
        <w:t>.</w:t>
      </w:r>
    </w:p>
    <w:bookmarkEnd w:id="2"/>
    <w:p w14:paraId="1C9A8755" w14:textId="77777777" w:rsidR="00A47956" w:rsidRPr="008C72BF" w:rsidRDefault="00A47956" w:rsidP="00A47956">
      <w:pPr>
        <w:spacing w:after="0"/>
      </w:pPr>
    </w:p>
    <w:p w14:paraId="6F469B7F" w14:textId="70B4D926" w:rsidR="00796F5C" w:rsidRPr="008C72BF" w:rsidRDefault="00585F04" w:rsidP="00A47956">
      <w:pPr>
        <w:numPr>
          <w:ilvl w:val="1"/>
          <w:numId w:val="2"/>
        </w:numPr>
        <w:spacing w:after="0"/>
      </w:pPr>
      <w:r w:rsidRPr="008C72BF">
        <w:t xml:space="preserve"> </w:t>
      </w:r>
      <w:r w:rsidR="00A47956" w:rsidRPr="008C72BF">
        <w:t>Kultuurkapital kohustub</w:t>
      </w:r>
      <w:r w:rsidR="00796F5C" w:rsidRPr="008C72BF">
        <w:t>:</w:t>
      </w:r>
    </w:p>
    <w:p w14:paraId="02C84C41" w14:textId="77777777" w:rsidR="00796F5C" w:rsidRPr="008C72BF" w:rsidRDefault="00796F5C" w:rsidP="00796F5C">
      <w:pPr>
        <w:pStyle w:val="ListParagraph"/>
        <w:numPr>
          <w:ilvl w:val="2"/>
          <w:numId w:val="2"/>
        </w:numPr>
        <w:spacing w:after="0"/>
      </w:pPr>
      <w:r w:rsidRPr="008C72BF">
        <w:t>menetlema väljamaksetaotlusi tähtaegselt ning toetuse viivitusteta välja maksma;</w:t>
      </w:r>
    </w:p>
    <w:p w14:paraId="5922097E" w14:textId="18B6D6CB" w:rsidR="009817E8" w:rsidRPr="008C72BF" w:rsidRDefault="00796F5C" w:rsidP="009817E8">
      <w:pPr>
        <w:pStyle w:val="ListParagraph"/>
        <w:numPr>
          <w:ilvl w:val="2"/>
          <w:numId w:val="2"/>
        </w:numPr>
        <w:spacing w:after="0"/>
        <w:jc w:val="both"/>
      </w:pPr>
      <w:r w:rsidRPr="008C72BF">
        <w:t>teavitama Linna esimesel võimalusel, kui ilmneb, et käesoleva Lepingu kohaseid toetussummasid ei ole võimalik punktis 1.</w:t>
      </w:r>
      <w:r w:rsidR="00810900" w:rsidRPr="008C72BF">
        <w:t>1</w:t>
      </w:r>
      <w:r w:rsidR="00783224" w:rsidRPr="008C72BF">
        <w:t>1</w:t>
      </w:r>
      <w:r w:rsidRPr="008C72BF">
        <w:t xml:space="preserve">. </w:t>
      </w:r>
      <w:r w:rsidR="004148DD" w:rsidRPr="008C72BF">
        <w:t>kirjeldatud graafiku alusel</w:t>
      </w:r>
      <w:r w:rsidRPr="008C72BF">
        <w:t xml:space="preserve"> välja maksta ning asuma läbirääkimistesse Lepingu muutmiseks arvestade</w:t>
      </w:r>
      <w:r w:rsidR="004148DD" w:rsidRPr="008C72BF">
        <w:t>s</w:t>
      </w:r>
      <w:r w:rsidRPr="008C72BF">
        <w:t xml:space="preserve"> </w:t>
      </w:r>
      <w:r w:rsidR="00A91AB6" w:rsidRPr="008C72BF">
        <w:t>Kultuurikeskuse</w:t>
      </w:r>
      <w:r w:rsidR="009817E8" w:rsidRPr="008C72BF">
        <w:t xml:space="preserve"> väljaarendamise</w:t>
      </w:r>
      <w:r w:rsidR="004148DD" w:rsidRPr="008C72BF">
        <w:t xml:space="preserve"> eesmärki</w:t>
      </w:r>
      <w:r w:rsidR="009817E8" w:rsidRPr="008C72BF">
        <w:t>.</w:t>
      </w:r>
    </w:p>
    <w:p w14:paraId="09D3033E" w14:textId="77777777" w:rsidR="009817E8" w:rsidRPr="008C72BF" w:rsidRDefault="009817E8" w:rsidP="009817E8">
      <w:pPr>
        <w:spacing w:after="0"/>
        <w:ind w:left="360"/>
        <w:jc w:val="both"/>
      </w:pPr>
    </w:p>
    <w:p w14:paraId="7F300B2E" w14:textId="64FB70AA" w:rsidR="009817E8" w:rsidRPr="008C72BF" w:rsidRDefault="00585F04" w:rsidP="009817E8">
      <w:pPr>
        <w:pStyle w:val="ListParagraph"/>
        <w:numPr>
          <w:ilvl w:val="1"/>
          <w:numId w:val="2"/>
        </w:numPr>
        <w:spacing w:after="0"/>
        <w:jc w:val="both"/>
      </w:pPr>
      <w:r w:rsidRPr="008C72BF">
        <w:t xml:space="preserve"> </w:t>
      </w:r>
      <w:r w:rsidR="009817E8" w:rsidRPr="008C72BF">
        <w:t>Linnal on õigus saada toetuse andmise või väljamaksetaotluse mitte rahuldamise kohta selgitusi ja informatsiooni.</w:t>
      </w:r>
    </w:p>
    <w:p w14:paraId="7129E39C" w14:textId="77777777" w:rsidR="009817E8" w:rsidRPr="008C72BF" w:rsidRDefault="009817E8" w:rsidP="009817E8">
      <w:pPr>
        <w:pStyle w:val="ListParagraph"/>
        <w:spacing w:after="0"/>
        <w:jc w:val="both"/>
      </w:pPr>
    </w:p>
    <w:p w14:paraId="6F0DDA45" w14:textId="4383BEAC" w:rsidR="00A47956" w:rsidRPr="008C72BF" w:rsidRDefault="00585F04" w:rsidP="009817E8">
      <w:pPr>
        <w:numPr>
          <w:ilvl w:val="1"/>
          <w:numId w:val="2"/>
        </w:numPr>
        <w:spacing w:after="0"/>
        <w:jc w:val="both"/>
      </w:pPr>
      <w:r w:rsidRPr="008C72BF">
        <w:t xml:space="preserve"> </w:t>
      </w:r>
      <w:r w:rsidR="00A47956" w:rsidRPr="008C72BF">
        <w:t xml:space="preserve">Kultuurkapitalil on õigus nõuda </w:t>
      </w:r>
      <w:r w:rsidR="009817E8" w:rsidRPr="008C72BF">
        <w:t>Linna</w:t>
      </w:r>
      <w:r w:rsidR="00A47956" w:rsidRPr="008C72BF">
        <w:t xml:space="preserve">lt igal ajal  </w:t>
      </w:r>
      <w:r w:rsidR="00A91AB6" w:rsidRPr="008C72BF">
        <w:t xml:space="preserve">Kultuurikeskuse </w:t>
      </w:r>
      <w:r w:rsidR="00A47956" w:rsidRPr="008C72BF">
        <w:t xml:space="preserve">ehituse ning rahastamisega seotud </w:t>
      </w:r>
      <w:r w:rsidR="0057114A" w:rsidRPr="008C72BF">
        <w:t xml:space="preserve">muude </w:t>
      </w:r>
      <w:r w:rsidR="00A47956" w:rsidRPr="008C72BF">
        <w:t xml:space="preserve">dokumentide ja tõendite esitamist. </w:t>
      </w:r>
      <w:r w:rsidR="009817E8" w:rsidRPr="008C72BF">
        <w:t>Linn</w:t>
      </w:r>
      <w:r w:rsidR="00A47956" w:rsidRPr="008C72BF">
        <w:t xml:space="preserve"> peab esitama Kultuurkapitalile nõutud teabe viivitamata, kuid mitte hiljem kui kümne (10) päeva jooksul alates nõude saamisest.</w:t>
      </w:r>
    </w:p>
    <w:p w14:paraId="017B79FD" w14:textId="77777777" w:rsidR="00907CB7" w:rsidRPr="008C72BF" w:rsidRDefault="00907CB7" w:rsidP="00A47956">
      <w:pPr>
        <w:spacing w:after="0"/>
        <w:ind w:left="360"/>
      </w:pPr>
    </w:p>
    <w:p w14:paraId="79038831" w14:textId="77777777" w:rsidR="009817E8" w:rsidRPr="008C72BF" w:rsidRDefault="009817E8" w:rsidP="009817E8">
      <w:pPr>
        <w:pStyle w:val="ListParagraph"/>
        <w:numPr>
          <w:ilvl w:val="0"/>
          <w:numId w:val="2"/>
        </w:numPr>
        <w:spacing w:after="0"/>
        <w:rPr>
          <w:b/>
        </w:rPr>
      </w:pPr>
      <w:r w:rsidRPr="008C72BF">
        <w:rPr>
          <w:b/>
        </w:rPr>
        <w:t>Lõppsätted</w:t>
      </w:r>
    </w:p>
    <w:p w14:paraId="178CC33B" w14:textId="77777777" w:rsidR="009817E8" w:rsidRPr="008C72BF" w:rsidRDefault="009817E8" w:rsidP="009817E8">
      <w:pPr>
        <w:pStyle w:val="ListParagraph"/>
        <w:spacing w:after="0"/>
      </w:pPr>
    </w:p>
    <w:p w14:paraId="0E2A5E04" w14:textId="25937E34" w:rsidR="009817E8" w:rsidRPr="008C72BF" w:rsidRDefault="00585F04" w:rsidP="009817E8">
      <w:pPr>
        <w:pStyle w:val="ListParagraph"/>
        <w:numPr>
          <w:ilvl w:val="1"/>
          <w:numId w:val="2"/>
        </w:numPr>
        <w:spacing w:after="0"/>
      </w:pPr>
      <w:r w:rsidRPr="008C72BF">
        <w:t xml:space="preserve"> </w:t>
      </w:r>
      <w:r w:rsidR="009817E8" w:rsidRPr="008C72BF">
        <w:t>Leping jõustub sõlmimise kuupäevast ja kehtib kuni Pooled on oma lepingulised kohustused täitnud.</w:t>
      </w:r>
    </w:p>
    <w:p w14:paraId="0A65800B" w14:textId="381C214A" w:rsidR="006328B1" w:rsidRPr="008C72BF" w:rsidRDefault="006328B1" w:rsidP="006328B1">
      <w:pPr>
        <w:pStyle w:val="ListParagraph"/>
        <w:spacing w:after="0"/>
      </w:pPr>
    </w:p>
    <w:p w14:paraId="72EDEF7F" w14:textId="32A59B21" w:rsidR="009817E8" w:rsidRPr="008C72BF" w:rsidRDefault="00585F04" w:rsidP="009817E8">
      <w:pPr>
        <w:pStyle w:val="ListParagraph"/>
        <w:numPr>
          <w:ilvl w:val="1"/>
          <w:numId w:val="2"/>
        </w:numPr>
        <w:spacing w:after="0"/>
        <w:jc w:val="both"/>
      </w:pPr>
      <w:r w:rsidRPr="008C72BF">
        <w:t xml:space="preserve"> </w:t>
      </w:r>
      <w:r w:rsidR="009817E8" w:rsidRPr="008C72BF">
        <w:t xml:space="preserve">Kultuurkapitalil on õigus Leping ette teatamata kohese mõjuga üles öelda ja nõuda </w:t>
      </w:r>
      <w:r w:rsidR="00D6254D" w:rsidRPr="008C72BF">
        <w:t>väljamakstud toetuse</w:t>
      </w:r>
      <w:r w:rsidR="009817E8" w:rsidRPr="008C72BF">
        <w:t xml:space="preserve"> </w:t>
      </w:r>
      <w:r w:rsidR="00103B5A" w:rsidRPr="008C72BF">
        <w:t xml:space="preserve">mõistliku ajagraafiku alusel </w:t>
      </w:r>
      <w:r w:rsidR="009817E8" w:rsidRPr="008C72BF">
        <w:t>tagastamist, kui leiab aset kasvõi üks alljärgnevatest loetletud sündmustest:</w:t>
      </w:r>
    </w:p>
    <w:p w14:paraId="2D09E29C" w14:textId="77777777" w:rsidR="009817E8" w:rsidRPr="008C72BF" w:rsidRDefault="009817E8" w:rsidP="009817E8">
      <w:pPr>
        <w:pStyle w:val="ListParagraph"/>
        <w:numPr>
          <w:ilvl w:val="2"/>
          <w:numId w:val="2"/>
        </w:numPr>
        <w:spacing w:after="0"/>
        <w:jc w:val="both"/>
      </w:pPr>
      <w:r w:rsidRPr="008C72BF">
        <w:t>Linn on Kultuurkapitali toetuse taotlemisel andnud Kultuurkapitalile väärinformatsiooni või jätnud esitamata talle teadaolevad Lepingu täitmist mõjutavad andmed;</w:t>
      </w:r>
    </w:p>
    <w:p w14:paraId="6F473DBB" w14:textId="4166D602" w:rsidR="006328B1" w:rsidRPr="008C72BF" w:rsidRDefault="009817E8" w:rsidP="006328B1">
      <w:pPr>
        <w:pStyle w:val="ListParagraph"/>
        <w:numPr>
          <w:ilvl w:val="2"/>
          <w:numId w:val="2"/>
        </w:numPr>
        <w:spacing w:after="0"/>
        <w:jc w:val="both"/>
      </w:pPr>
      <w:r w:rsidRPr="008C72BF">
        <w:t xml:space="preserve">Linn ei kasuta Kultuurkapitali antud toetust </w:t>
      </w:r>
      <w:r w:rsidR="006328B1" w:rsidRPr="008C72BF">
        <w:t>sihtotstarbeliselt</w:t>
      </w:r>
      <w:r w:rsidR="00103B5A" w:rsidRPr="008C72BF">
        <w:t>;</w:t>
      </w:r>
    </w:p>
    <w:p w14:paraId="4398BE43" w14:textId="3136835B" w:rsidR="00103B5A" w:rsidRPr="008C72BF" w:rsidRDefault="00103B5A" w:rsidP="007022DC">
      <w:pPr>
        <w:pStyle w:val="ListParagraph"/>
        <w:numPr>
          <w:ilvl w:val="2"/>
          <w:numId w:val="2"/>
        </w:numPr>
        <w:spacing w:after="0"/>
        <w:jc w:val="both"/>
      </w:pPr>
      <w:r w:rsidRPr="008C72BF">
        <w:t xml:space="preserve">Linn on teinud otsuse </w:t>
      </w:r>
      <w:r w:rsidR="007022DC" w:rsidRPr="008C72BF">
        <w:t xml:space="preserve">Linnast tingitud põhjustel </w:t>
      </w:r>
      <w:r w:rsidRPr="008C72BF">
        <w:t>Kultuurikeskust mitte ehitada.</w:t>
      </w:r>
    </w:p>
    <w:p w14:paraId="1B181E94" w14:textId="77777777" w:rsidR="006328B1" w:rsidRPr="008C72BF" w:rsidRDefault="006328B1" w:rsidP="006328B1">
      <w:pPr>
        <w:pStyle w:val="ListParagraph"/>
        <w:spacing w:after="0"/>
        <w:ind w:left="1080"/>
        <w:jc w:val="both"/>
      </w:pPr>
    </w:p>
    <w:p w14:paraId="0759E01F" w14:textId="63201B4D" w:rsidR="009817E8" w:rsidRPr="008C72BF" w:rsidRDefault="00585F04" w:rsidP="006328B1">
      <w:pPr>
        <w:pStyle w:val="ListParagraph"/>
        <w:numPr>
          <w:ilvl w:val="1"/>
          <w:numId w:val="2"/>
        </w:numPr>
        <w:spacing w:after="0"/>
        <w:jc w:val="both"/>
      </w:pPr>
      <w:r w:rsidRPr="008C72BF">
        <w:t xml:space="preserve"> </w:t>
      </w:r>
      <w:r w:rsidR="009817E8" w:rsidRPr="008C72BF">
        <w:t>Käesolevat Lepingut koos tema lahutamatuks osaks olevate Lisadega saab muuta Poolte kirjaliku kokkuleppega, mis kuulub Lepingu juurde ja on selle lahutamatuks osaks. Muudatused jõustuvad pärast allakirjutamist mõlema poole poolt või Poolte poolt määratud tähtajal.</w:t>
      </w:r>
    </w:p>
    <w:p w14:paraId="1DF7BC43" w14:textId="710C399C" w:rsidR="009817E8" w:rsidRPr="008C72BF" w:rsidRDefault="009817E8" w:rsidP="009817E8">
      <w:pPr>
        <w:spacing w:after="0"/>
      </w:pPr>
    </w:p>
    <w:p w14:paraId="7D0B0E87" w14:textId="232E3EDE" w:rsidR="00FD05A8" w:rsidRPr="008C72BF" w:rsidRDefault="00FD05A8" w:rsidP="009817E8">
      <w:pPr>
        <w:spacing w:after="0"/>
      </w:pPr>
    </w:p>
    <w:p w14:paraId="402E9281" w14:textId="19ECFB31" w:rsidR="00FD05A8" w:rsidRPr="008C72BF" w:rsidRDefault="00FD05A8" w:rsidP="009817E8">
      <w:pPr>
        <w:spacing w:after="0"/>
      </w:pPr>
    </w:p>
    <w:p w14:paraId="336D4F2F" w14:textId="3AFBF7A2" w:rsidR="00FD05A8" w:rsidRPr="008C72BF" w:rsidRDefault="00FD05A8" w:rsidP="009817E8">
      <w:pPr>
        <w:spacing w:after="0"/>
      </w:pPr>
    </w:p>
    <w:p w14:paraId="67E30EDA" w14:textId="56F17404" w:rsidR="00FD05A8" w:rsidRPr="008C72BF" w:rsidRDefault="00FD05A8" w:rsidP="00FD05A8">
      <w:pPr>
        <w:spacing w:after="0"/>
        <w:ind w:firstLine="708"/>
        <w:rPr>
          <w:b/>
        </w:rPr>
      </w:pPr>
      <w:r w:rsidRPr="008C72BF">
        <w:rPr>
          <w:b/>
        </w:rPr>
        <w:t>Eesti Kultuurkapital</w:t>
      </w:r>
      <w:r w:rsidRPr="008C72BF">
        <w:rPr>
          <w:b/>
        </w:rPr>
        <w:tab/>
      </w:r>
      <w:r w:rsidRPr="008C72BF">
        <w:rPr>
          <w:b/>
        </w:rPr>
        <w:tab/>
      </w:r>
      <w:r w:rsidRPr="008C72BF">
        <w:rPr>
          <w:b/>
        </w:rPr>
        <w:tab/>
      </w:r>
      <w:r w:rsidR="00585F04" w:rsidRPr="008C72BF">
        <w:rPr>
          <w:b/>
        </w:rPr>
        <w:t xml:space="preserve">                </w:t>
      </w:r>
      <w:r w:rsidRPr="008C72BF">
        <w:rPr>
          <w:b/>
        </w:rPr>
        <w:t>Tartu Linnavalitsus</w:t>
      </w:r>
    </w:p>
    <w:p w14:paraId="5DBF4938" w14:textId="72DAB819" w:rsidR="00FD05A8" w:rsidRPr="008C72BF" w:rsidRDefault="00FD05A8" w:rsidP="00FD05A8">
      <w:pPr>
        <w:spacing w:after="0"/>
        <w:ind w:firstLine="708"/>
      </w:pPr>
      <w:r w:rsidRPr="008C72BF">
        <w:rPr>
          <w:i/>
          <w:iCs/>
        </w:rPr>
        <w:t>/allkirjastatud digitaalselt/</w:t>
      </w:r>
      <w:r w:rsidRPr="008C72BF">
        <w:tab/>
      </w:r>
      <w:r w:rsidRPr="008C72BF">
        <w:tab/>
      </w:r>
      <w:r w:rsidRPr="008C72BF">
        <w:tab/>
      </w:r>
      <w:r w:rsidR="00585F04" w:rsidRPr="008C72BF">
        <w:t xml:space="preserve">   </w:t>
      </w:r>
      <w:r w:rsidRPr="008C72BF">
        <w:rPr>
          <w:i/>
          <w:iCs/>
        </w:rPr>
        <w:t>/allkirjastatud digitaalselt/</w:t>
      </w:r>
    </w:p>
    <w:p w14:paraId="0E68DD56" w14:textId="28673AA1" w:rsidR="00FD05A8" w:rsidRPr="008C72BF" w:rsidRDefault="00FD05A8" w:rsidP="00FD05A8">
      <w:pPr>
        <w:spacing w:after="0"/>
        <w:ind w:firstLine="708"/>
      </w:pPr>
      <w:r w:rsidRPr="008C72BF">
        <w:t>Margus Allikmaa</w:t>
      </w:r>
      <w:r w:rsidRPr="008C72BF">
        <w:tab/>
      </w:r>
      <w:r w:rsidRPr="008C72BF">
        <w:tab/>
      </w:r>
      <w:r w:rsidRPr="008C72BF">
        <w:tab/>
      </w:r>
      <w:r w:rsidRPr="008C72BF">
        <w:tab/>
      </w:r>
      <w:r w:rsidR="00585F04" w:rsidRPr="008C72BF">
        <w:t xml:space="preserve">   </w:t>
      </w:r>
      <w:r w:rsidRPr="008C72BF">
        <w:t>Urmas Klaas</w:t>
      </w:r>
    </w:p>
    <w:p w14:paraId="67FFE69C" w14:textId="5D706BC8" w:rsidR="00FD05A8" w:rsidRPr="008C72BF" w:rsidRDefault="00FD05A8" w:rsidP="00FD05A8">
      <w:pPr>
        <w:spacing w:after="0"/>
        <w:ind w:firstLine="708"/>
      </w:pPr>
      <w:r w:rsidRPr="008C72BF">
        <w:t>juhataja</w:t>
      </w:r>
      <w:r w:rsidRPr="008C72BF">
        <w:tab/>
      </w:r>
      <w:r w:rsidRPr="008C72BF">
        <w:tab/>
      </w:r>
      <w:r w:rsidRPr="008C72BF">
        <w:tab/>
      </w:r>
      <w:r w:rsidRPr="008C72BF">
        <w:tab/>
      </w:r>
      <w:r w:rsidRPr="008C72BF">
        <w:tab/>
      </w:r>
      <w:r w:rsidR="00585F04" w:rsidRPr="008C72BF">
        <w:t xml:space="preserve">    </w:t>
      </w:r>
      <w:r w:rsidRPr="008C72BF">
        <w:t>linnapea</w:t>
      </w:r>
    </w:p>
    <w:p w14:paraId="6F57D445" w14:textId="77850119" w:rsidR="00FD05A8" w:rsidRPr="008C72BF" w:rsidRDefault="00FD05A8" w:rsidP="009817E8">
      <w:pPr>
        <w:spacing w:after="0"/>
      </w:pPr>
    </w:p>
    <w:p w14:paraId="448801E9" w14:textId="30BE1BCA" w:rsidR="00CC5E31" w:rsidRPr="008C72BF" w:rsidRDefault="00CC5E31" w:rsidP="009817E8">
      <w:pPr>
        <w:spacing w:after="0"/>
      </w:pPr>
    </w:p>
    <w:p w14:paraId="083CED8D" w14:textId="35D3907B" w:rsidR="00CC5E31" w:rsidRPr="008C72BF" w:rsidRDefault="00CC5E31" w:rsidP="009817E8">
      <w:pPr>
        <w:spacing w:after="0"/>
      </w:pPr>
    </w:p>
    <w:sectPr w:rsidR="00CC5E31" w:rsidRPr="008C7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8"/>
      <w:numFmt w:val="decimal"/>
      <w:lvlText w:val="%1."/>
      <w:lvlJc w:val="left"/>
      <w:pPr>
        <w:tabs>
          <w:tab w:val="num" w:pos="900"/>
        </w:tabs>
        <w:ind w:left="900" w:hanging="900"/>
      </w:pPr>
    </w:lvl>
    <w:lvl w:ilvl="1">
      <w:start w:val="2"/>
      <w:numFmt w:val="decimal"/>
      <w:lvlText w:val="%1.%2."/>
      <w:lvlJc w:val="left"/>
      <w:pPr>
        <w:tabs>
          <w:tab w:val="num" w:pos="1170"/>
        </w:tabs>
        <w:ind w:left="1170" w:hanging="900"/>
      </w:pPr>
    </w:lvl>
    <w:lvl w:ilvl="2">
      <w:start w:val="1"/>
      <w:numFmt w:val="decimal"/>
      <w:lvlText w:val="%1.%2.%3."/>
      <w:lvlJc w:val="left"/>
      <w:pPr>
        <w:tabs>
          <w:tab w:val="num" w:pos="1440"/>
        </w:tabs>
        <w:ind w:left="1440" w:hanging="900"/>
      </w:pPr>
      <w:rPr>
        <w:szCs w:val="24"/>
      </w:rPr>
    </w:lvl>
    <w:lvl w:ilvl="3">
      <w:start w:val="1"/>
      <w:numFmt w:val="decimal"/>
      <w:lvlText w:val="%1.%2.%3.%4."/>
      <w:lvlJc w:val="left"/>
      <w:pPr>
        <w:tabs>
          <w:tab w:val="num" w:pos="1710"/>
        </w:tabs>
        <w:ind w:left="1710" w:hanging="90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lang w:val="et-EE"/>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lang w:val="et-E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15A19F6"/>
    <w:multiLevelType w:val="hybridMultilevel"/>
    <w:tmpl w:val="6C2C4B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CB0116"/>
    <w:multiLevelType w:val="multilevel"/>
    <w:tmpl w:val="92FE8C68"/>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129349F"/>
    <w:multiLevelType w:val="multilevel"/>
    <w:tmpl w:val="4394EB7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212D33"/>
    <w:multiLevelType w:val="hybridMultilevel"/>
    <w:tmpl w:val="5032E21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15:restartNumberingAfterBreak="0">
    <w:nsid w:val="44B10ACA"/>
    <w:multiLevelType w:val="hybridMultilevel"/>
    <w:tmpl w:val="25B4EBE0"/>
    <w:lvl w:ilvl="0" w:tplc="22383762">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4F5B0A04"/>
    <w:multiLevelType w:val="multilevel"/>
    <w:tmpl w:val="4394EB7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F90800"/>
    <w:multiLevelType w:val="hybridMultilevel"/>
    <w:tmpl w:val="18D0639A"/>
    <w:lvl w:ilvl="0" w:tplc="9E78D2DC">
      <w:start w:val="10"/>
      <w:numFmt w:val="decimal"/>
      <w:lvlText w:val="%1."/>
      <w:lvlJc w:val="left"/>
      <w:pPr>
        <w:ind w:left="1068"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99145796">
    <w:abstractNumId w:val="1"/>
  </w:num>
  <w:num w:numId="2" w16cid:durableId="2106995217">
    <w:abstractNumId w:val="5"/>
  </w:num>
  <w:num w:numId="3" w16cid:durableId="258564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274807">
    <w:abstractNumId w:val="4"/>
  </w:num>
  <w:num w:numId="5" w16cid:durableId="612320216">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1122339">
    <w:abstractNumId w:val="7"/>
  </w:num>
  <w:num w:numId="7" w16cid:durableId="1219976836">
    <w:abstractNumId w:val="6"/>
  </w:num>
  <w:num w:numId="8" w16cid:durableId="1532451829">
    <w:abstractNumId w:val="3"/>
  </w:num>
  <w:num w:numId="9" w16cid:durableId="1939099058">
    <w:abstractNumId w:val="9"/>
  </w:num>
  <w:num w:numId="10" w16cid:durableId="490371591">
    <w:abstractNumId w:val="1"/>
  </w:num>
  <w:num w:numId="11" w16cid:durableId="1857185554">
    <w:abstractNumId w:val="8"/>
  </w:num>
  <w:num w:numId="12" w16cid:durableId="605384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D7"/>
    <w:rsid w:val="00023EC5"/>
    <w:rsid w:val="00045E06"/>
    <w:rsid w:val="00085790"/>
    <w:rsid w:val="00086ABA"/>
    <w:rsid w:val="0008752D"/>
    <w:rsid w:val="00087EDF"/>
    <w:rsid w:val="00095836"/>
    <w:rsid w:val="000A2AA7"/>
    <w:rsid w:val="000B2C57"/>
    <w:rsid w:val="000C6809"/>
    <w:rsid w:val="000F2A61"/>
    <w:rsid w:val="000F4475"/>
    <w:rsid w:val="000F4DE0"/>
    <w:rsid w:val="00103B5A"/>
    <w:rsid w:val="00114CE2"/>
    <w:rsid w:val="0015462C"/>
    <w:rsid w:val="00164067"/>
    <w:rsid w:val="00181645"/>
    <w:rsid w:val="001824A5"/>
    <w:rsid w:val="00182F7D"/>
    <w:rsid w:val="001841D7"/>
    <w:rsid w:val="00194C21"/>
    <w:rsid w:val="001A112C"/>
    <w:rsid w:val="001D0A54"/>
    <w:rsid w:val="002170B6"/>
    <w:rsid w:val="0029010E"/>
    <w:rsid w:val="002A29E8"/>
    <w:rsid w:val="002B408C"/>
    <w:rsid w:val="002C3F68"/>
    <w:rsid w:val="002E25DF"/>
    <w:rsid w:val="002E3E73"/>
    <w:rsid w:val="002E5494"/>
    <w:rsid w:val="00303AA2"/>
    <w:rsid w:val="00325070"/>
    <w:rsid w:val="00381925"/>
    <w:rsid w:val="0038557E"/>
    <w:rsid w:val="00397844"/>
    <w:rsid w:val="003A5C54"/>
    <w:rsid w:val="003B23F3"/>
    <w:rsid w:val="003E1854"/>
    <w:rsid w:val="003E5AB6"/>
    <w:rsid w:val="0040170A"/>
    <w:rsid w:val="004148DD"/>
    <w:rsid w:val="00424E05"/>
    <w:rsid w:val="00426297"/>
    <w:rsid w:val="00452F68"/>
    <w:rsid w:val="0045380A"/>
    <w:rsid w:val="00462244"/>
    <w:rsid w:val="00463262"/>
    <w:rsid w:val="00491D8A"/>
    <w:rsid w:val="00493C79"/>
    <w:rsid w:val="004948AC"/>
    <w:rsid w:val="004D0C1D"/>
    <w:rsid w:val="00520AFA"/>
    <w:rsid w:val="0052248C"/>
    <w:rsid w:val="00524E23"/>
    <w:rsid w:val="00525A11"/>
    <w:rsid w:val="00534CA7"/>
    <w:rsid w:val="00546ECC"/>
    <w:rsid w:val="0057114A"/>
    <w:rsid w:val="00585F04"/>
    <w:rsid w:val="005A4D2C"/>
    <w:rsid w:val="005C40A1"/>
    <w:rsid w:val="006246B0"/>
    <w:rsid w:val="006328B1"/>
    <w:rsid w:val="006456AD"/>
    <w:rsid w:val="00672295"/>
    <w:rsid w:val="00677123"/>
    <w:rsid w:val="00681E73"/>
    <w:rsid w:val="00695078"/>
    <w:rsid w:val="007022DC"/>
    <w:rsid w:val="00745540"/>
    <w:rsid w:val="00783224"/>
    <w:rsid w:val="00796F5C"/>
    <w:rsid w:val="007A6A13"/>
    <w:rsid w:val="007C7533"/>
    <w:rsid w:val="007D5C8F"/>
    <w:rsid w:val="007E0BFA"/>
    <w:rsid w:val="007E13A8"/>
    <w:rsid w:val="007E77D6"/>
    <w:rsid w:val="008041C4"/>
    <w:rsid w:val="00810900"/>
    <w:rsid w:val="00816D2C"/>
    <w:rsid w:val="008274AA"/>
    <w:rsid w:val="00841ACE"/>
    <w:rsid w:val="00846163"/>
    <w:rsid w:val="00861F00"/>
    <w:rsid w:val="008654C8"/>
    <w:rsid w:val="00865E9B"/>
    <w:rsid w:val="008C72BF"/>
    <w:rsid w:val="008D6FC8"/>
    <w:rsid w:val="008F1458"/>
    <w:rsid w:val="00907CB7"/>
    <w:rsid w:val="00912EFE"/>
    <w:rsid w:val="00933B87"/>
    <w:rsid w:val="009817E8"/>
    <w:rsid w:val="00A21177"/>
    <w:rsid w:val="00A22004"/>
    <w:rsid w:val="00A46FA2"/>
    <w:rsid w:val="00A47956"/>
    <w:rsid w:val="00A67814"/>
    <w:rsid w:val="00A85126"/>
    <w:rsid w:val="00A87E37"/>
    <w:rsid w:val="00A91AB6"/>
    <w:rsid w:val="00AE55B0"/>
    <w:rsid w:val="00B01427"/>
    <w:rsid w:val="00B113D9"/>
    <w:rsid w:val="00B54767"/>
    <w:rsid w:val="00B605D8"/>
    <w:rsid w:val="00BA5B81"/>
    <w:rsid w:val="00BC31F5"/>
    <w:rsid w:val="00BC35E2"/>
    <w:rsid w:val="00C075E9"/>
    <w:rsid w:val="00C801E3"/>
    <w:rsid w:val="00C86BFD"/>
    <w:rsid w:val="00CA5714"/>
    <w:rsid w:val="00CB2AA6"/>
    <w:rsid w:val="00CB7516"/>
    <w:rsid w:val="00CC5E31"/>
    <w:rsid w:val="00CD4DE5"/>
    <w:rsid w:val="00D009DC"/>
    <w:rsid w:val="00D05AB2"/>
    <w:rsid w:val="00D074DA"/>
    <w:rsid w:val="00D302FE"/>
    <w:rsid w:val="00D431DE"/>
    <w:rsid w:val="00D555C1"/>
    <w:rsid w:val="00D6254D"/>
    <w:rsid w:val="00D76DD3"/>
    <w:rsid w:val="00DB5314"/>
    <w:rsid w:val="00DD72D9"/>
    <w:rsid w:val="00DE2BD4"/>
    <w:rsid w:val="00E0189D"/>
    <w:rsid w:val="00E10C4C"/>
    <w:rsid w:val="00E32777"/>
    <w:rsid w:val="00E46656"/>
    <w:rsid w:val="00E4731A"/>
    <w:rsid w:val="00EB15B8"/>
    <w:rsid w:val="00EB274D"/>
    <w:rsid w:val="00F1022B"/>
    <w:rsid w:val="00F10D6E"/>
    <w:rsid w:val="00F31985"/>
    <w:rsid w:val="00F35532"/>
    <w:rsid w:val="00F63C3C"/>
    <w:rsid w:val="00F72945"/>
    <w:rsid w:val="00F74DFB"/>
    <w:rsid w:val="00F8269E"/>
    <w:rsid w:val="00F9198E"/>
    <w:rsid w:val="00F94760"/>
    <w:rsid w:val="00FD05A8"/>
    <w:rsid w:val="00FE2F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2D74"/>
  <w15:chartTrackingRefBased/>
  <w15:docId w15:val="{F3702932-6D19-4E31-AA7D-82476150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A1"/>
    <w:pPr>
      <w:ind w:left="720"/>
      <w:contextualSpacing/>
    </w:pPr>
  </w:style>
  <w:style w:type="table" w:styleId="TableGrid">
    <w:name w:val="Table Grid"/>
    <w:basedOn w:val="TableNormal"/>
    <w:uiPriority w:val="39"/>
    <w:rsid w:val="008F1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3C79"/>
    <w:rPr>
      <w:sz w:val="16"/>
      <w:szCs w:val="16"/>
    </w:rPr>
  </w:style>
  <w:style w:type="paragraph" w:styleId="CommentText">
    <w:name w:val="annotation text"/>
    <w:basedOn w:val="Normal"/>
    <w:link w:val="CommentTextChar"/>
    <w:uiPriority w:val="99"/>
    <w:unhideWhenUsed/>
    <w:rsid w:val="00493C79"/>
    <w:pPr>
      <w:spacing w:line="240" w:lineRule="auto"/>
    </w:pPr>
    <w:rPr>
      <w:sz w:val="20"/>
      <w:szCs w:val="20"/>
    </w:rPr>
  </w:style>
  <w:style w:type="character" w:customStyle="1" w:styleId="CommentTextChar">
    <w:name w:val="Comment Text Char"/>
    <w:basedOn w:val="DefaultParagraphFont"/>
    <w:link w:val="CommentText"/>
    <w:uiPriority w:val="99"/>
    <w:rsid w:val="00493C79"/>
    <w:rPr>
      <w:sz w:val="20"/>
      <w:szCs w:val="20"/>
    </w:rPr>
  </w:style>
  <w:style w:type="paragraph" w:styleId="CommentSubject">
    <w:name w:val="annotation subject"/>
    <w:basedOn w:val="CommentText"/>
    <w:next w:val="CommentText"/>
    <w:link w:val="CommentSubjectChar"/>
    <w:uiPriority w:val="99"/>
    <w:semiHidden/>
    <w:unhideWhenUsed/>
    <w:rsid w:val="00493C79"/>
    <w:rPr>
      <w:b/>
      <w:bCs/>
    </w:rPr>
  </w:style>
  <w:style w:type="character" w:customStyle="1" w:styleId="CommentSubjectChar">
    <w:name w:val="Comment Subject Char"/>
    <w:basedOn w:val="CommentTextChar"/>
    <w:link w:val="CommentSubject"/>
    <w:uiPriority w:val="99"/>
    <w:semiHidden/>
    <w:rsid w:val="00493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2677">
      <w:bodyDiv w:val="1"/>
      <w:marLeft w:val="0"/>
      <w:marRight w:val="0"/>
      <w:marTop w:val="0"/>
      <w:marBottom w:val="0"/>
      <w:divBdr>
        <w:top w:val="none" w:sz="0" w:space="0" w:color="auto"/>
        <w:left w:val="none" w:sz="0" w:space="0" w:color="auto"/>
        <w:bottom w:val="none" w:sz="0" w:space="0" w:color="auto"/>
        <w:right w:val="none" w:sz="0" w:space="0" w:color="auto"/>
      </w:divBdr>
    </w:div>
    <w:div w:id="351764131">
      <w:bodyDiv w:val="1"/>
      <w:marLeft w:val="0"/>
      <w:marRight w:val="0"/>
      <w:marTop w:val="0"/>
      <w:marBottom w:val="0"/>
      <w:divBdr>
        <w:top w:val="none" w:sz="0" w:space="0" w:color="auto"/>
        <w:left w:val="none" w:sz="0" w:space="0" w:color="auto"/>
        <w:bottom w:val="none" w:sz="0" w:space="0" w:color="auto"/>
        <w:right w:val="none" w:sz="0" w:space="0" w:color="auto"/>
      </w:divBdr>
    </w:div>
    <w:div w:id="1089035624">
      <w:bodyDiv w:val="1"/>
      <w:marLeft w:val="0"/>
      <w:marRight w:val="0"/>
      <w:marTop w:val="0"/>
      <w:marBottom w:val="0"/>
      <w:divBdr>
        <w:top w:val="none" w:sz="0" w:space="0" w:color="auto"/>
        <w:left w:val="none" w:sz="0" w:space="0" w:color="auto"/>
        <w:bottom w:val="none" w:sz="0" w:space="0" w:color="auto"/>
        <w:right w:val="none" w:sz="0" w:space="0" w:color="auto"/>
      </w:divBdr>
    </w:div>
    <w:div w:id="12598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5955-2527-406D-824A-398A2440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1888</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Apuhtin</dc:creator>
  <cp:keywords/>
  <dc:description/>
  <cp:lastModifiedBy>Jüri Mölder</cp:lastModifiedBy>
  <cp:revision>3</cp:revision>
  <cp:lastPrinted>2022-10-10T16:19:00Z</cp:lastPrinted>
  <dcterms:created xsi:type="dcterms:W3CDTF">2022-11-23T14:01:00Z</dcterms:created>
  <dcterms:modified xsi:type="dcterms:W3CDTF">2022-11-23T14:03:00Z</dcterms:modified>
</cp:coreProperties>
</file>