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9E815" w14:textId="6F391D61" w:rsidR="00336CDD" w:rsidRPr="007C718D" w:rsidRDefault="008A156C">
      <w:pPr>
        <w:rPr>
          <w:lang w:val="et-EE"/>
        </w:rPr>
      </w:pPr>
      <w:r w:rsidRPr="007C718D">
        <w:rPr>
          <w:lang w:val="et-EE"/>
        </w:rPr>
        <w:t>Terviseamet ei kooskõlastanud oma 30.04.2024 a kirjaga nr 9.3-1/24/4347-2 Riia tn 148 krundi detailplaneeringut.</w:t>
      </w:r>
    </w:p>
    <w:p w14:paraId="28A1AE3C" w14:textId="598BF835" w:rsidR="008A156C" w:rsidRPr="007C718D" w:rsidRDefault="008A156C" w:rsidP="00780247">
      <w:pPr>
        <w:pStyle w:val="Loendilik"/>
        <w:numPr>
          <w:ilvl w:val="0"/>
          <w:numId w:val="1"/>
        </w:numPr>
        <w:rPr>
          <w:lang w:val="et-EE"/>
        </w:rPr>
      </w:pPr>
      <w:r w:rsidRPr="007C718D">
        <w:rPr>
          <w:lang w:val="et-EE"/>
        </w:rPr>
        <w:t xml:space="preserve">Kirjas on välja toodud, vastuolu KeHJS ja määrusega nr 224: </w:t>
      </w:r>
      <w:r w:rsidRPr="007C718D">
        <w:rPr>
          <w:lang w:val="et-EE"/>
        </w:rPr>
        <w:t>Esitatud detailplaneeringul puudub</w:t>
      </w:r>
      <w:r w:rsidRPr="007C718D">
        <w:rPr>
          <w:lang w:val="et-EE"/>
        </w:rPr>
        <w:t xml:space="preserve"> </w:t>
      </w:r>
      <w:r w:rsidRPr="007C718D">
        <w:rPr>
          <w:lang w:val="et-EE"/>
        </w:rPr>
        <w:t>keskkonnamõju hindamise eelhinnang.</w:t>
      </w:r>
      <w:r w:rsidRPr="007C718D">
        <w:rPr>
          <w:lang w:val="et-EE"/>
        </w:rPr>
        <w:t xml:space="preserve"> Selgitame, et planeeringu algatamise otsuses (saadaval </w:t>
      </w:r>
      <w:hyperlink r:id="rId5" w:history="1">
        <w:r w:rsidRPr="007C718D">
          <w:rPr>
            <w:rStyle w:val="Hperlink"/>
            <w:lang w:val="et-EE"/>
          </w:rPr>
          <w:t>https://info.raad.tartu.ee/dhs.nsf/gpunid/G73137DFF933F83E9C225833F0041E9BE?OpenDocument</w:t>
        </w:r>
      </w:hyperlink>
      <w:r w:rsidRPr="007C718D">
        <w:rPr>
          <w:lang w:val="et-EE"/>
        </w:rPr>
        <w:t xml:space="preserve">)  on esitatud </w:t>
      </w:r>
      <w:r w:rsidRPr="007C718D">
        <w:rPr>
          <w:lang w:val="et-EE"/>
        </w:rPr>
        <w:t>lähtudes KeHJS § 33 lõigetes 3-5 toodud kriteeriumitest ning metoodikast "KMH/KSH eelhindamise juhend otsustaja tasandil</w:t>
      </w:r>
      <w:r w:rsidRPr="007C718D">
        <w:rPr>
          <w:lang w:val="et-EE"/>
        </w:rPr>
        <w:t xml:space="preserve">“ eelhinnang. Eelhinnang on planeeringul olemas ja see ei ole </w:t>
      </w:r>
      <w:r w:rsidR="007C718D">
        <w:rPr>
          <w:lang w:val="et-EE"/>
        </w:rPr>
        <w:t xml:space="preserve">meie hinnangul </w:t>
      </w:r>
      <w:r w:rsidRPr="007C718D">
        <w:rPr>
          <w:lang w:val="et-EE"/>
        </w:rPr>
        <w:t>aluseks kooskõlastamisest keeldumiseks.</w:t>
      </w:r>
    </w:p>
    <w:p w14:paraId="6FE5B79C" w14:textId="56DAA1FA" w:rsidR="008A156C" w:rsidRPr="007C718D" w:rsidRDefault="008A156C" w:rsidP="00780247">
      <w:pPr>
        <w:pStyle w:val="Loendilik"/>
        <w:numPr>
          <w:ilvl w:val="0"/>
          <w:numId w:val="1"/>
        </w:numPr>
        <w:rPr>
          <w:lang w:val="et-EE"/>
        </w:rPr>
      </w:pPr>
      <w:r w:rsidRPr="007C718D">
        <w:rPr>
          <w:lang w:val="et-EE"/>
        </w:rPr>
        <w:t>Täien</w:t>
      </w:r>
      <w:r w:rsidR="00780247" w:rsidRPr="007C718D">
        <w:rPr>
          <w:lang w:val="et-EE"/>
        </w:rPr>
        <w:t xml:space="preserve">dava tähelepanu juhtiva punktina on välja toodud: </w:t>
      </w:r>
      <w:r w:rsidR="00780247" w:rsidRPr="007C718D">
        <w:rPr>
          <w:i/>
          <w:iCs/>
          <w:lang w:val="et-EE"/>
        </w:rPr>
        <w:t>Amet on seisukohal,</w:t>
      </w:r>
      <w:r w:rsidR="00780247" w:rsidRPr="007C718D">
        <w:rPr>
          <w:i/>
          <w:iCs/>
          <w:lang w:val="et-EE"/>
        </w:rPr>
        <w:t xml:space="preserve"> </w:t>
      </w:r>
      <w:r w:rsidR="00780247" w:rsidRPr="007C718D">
        <w:rPr>
          <w:i/>
          <w:iCs/>
          <w:lang w:val="et-EE"/>
        </w:rPr>
        <w:t>et planeeritava tootmistegevuse ja müra vähendamise võimekuste tõendamiseks tuleb</w:t>
      </w:r>
      <w:r w:rsidR="00780247" w:rsidRPr="007C718D">
        <w:rPr>
          <w:i/>
          <w:iCs/>
          <w:lang w:val="et-EE"/>
        </w:rPr>
        <w:t xml:space="preserve"> </w:t>
      </w:r>
      <w:r w:rsidR="00780247" w:rsidRPr="007C718D">
        <w:rPr>
          <w:i/>
          <w:iCs/>
          <w:lang w:val="et-EE"/>
        </w:rPr>
        <w:t>teostada nõuetele vastav müralevi modelleerimine/-uuring/-hinnang, mille raames oleks</w:t>
      </w:r>
      <w:r w:rsidR="00780247" w:rsidRPr="007C718D">
        <w:rPr>
          <w:i/>
          <w:iCs/>
          <w:lang w:val="et-EE"/>
        </w:rPr>
        <w:t xml:space="preserve"> </w:t>
      </w:r>
      <w:r w:rsidR="00780247" w:rsidRPr="007C718D">
        <w:rPr>
          <w:i/>
          <w:iCs/>
          <w:lang w:val="et-EE"/>
        </w:rPr>
        <w:t>hinnatud maantee (Riia mnt) ja elamukvartali (Aardla tn) siseste teede olemasolevast ja</w:t>
      </w:r>
      <w:r w:rsidR="00780247" w:rsidRPr="007C718D">
        <w:rPr>
          <w:i/>
          <w:iCs/>
          <w:lang w:val="et-EE"/>
        </w:rPr>
        <w:t xml:space="preserve"> </w:t>
      </w:r>
      <w:r w:rsidR="00780247" w:rsidRPr="007C718D">
        <w:rPr>
          <w:i/>
          <w:iCs/>
          <w:lang w:val="et-EE"/>
        </w:rPr>
        <w:t>perspektiivsest liiklusest põhjustatud müra taset ning vastavust kehtivatele nõuetele.</w:t>
      </w:r>
      <w:r w:rsidR="00780247" w:rsidRPr="007C718D">
        <w:rPr>
          <w:i/>
          <w:iCs/>
          <w:lang w:val="et-EE"/>
        </w:rPr>
        <w:t xml:space="preserve"> </w:t>
      </w:r>
      <w:r w:rsidR="00780247" w:rsidRPr="007C718D">
        <w:rPr>
          <w:i/>
          <w:iCs/>
          <w:lang w:val="et-EE"/>
        </w:rPr>
        <w:t>Mürahinnang peab sisaldama ka tootmistegevuste käitamiseaegseid müratasemeid</w:t>
      </w:r>
      <w:r w:rsidR="00780247" w:rsidRPr="007C718D">
        <w:rPr>
          <w:i/>
          <w:iCs/>
          <w:lang w:val="et-EE"/>
        </w:rPr>
        <w:t xml:space="preserve"> </w:t>
      </w:r>
      <w:r w:rsidR="00780247" w:rsidRPr="007C718D">
        <w:rPr>
          <w:i/>
          <w:iCs/>
          <w:lang w:val="et-EE"/>
        </w:rPr>
        <w:t>korterelamutele.</w:t>
      </w:r>
    </w:p>
    <w:p w14:paraId="313996E2" w14:textId="750110EC" w:rsidR="00780247" w:rsidRPr="007C718D" w:rsidRDefault="00780247" w:rsidP="00780247">
      <w:pPr>
        <w:pStyle w:val="Loendilik"/>
        <w:rPr>
          <w:lang w:val="et-EE"/>
        </w:rPr>
      </w:pPr>
      <w:r w:rsidRPr="007C718D">
        <w:rPr>
          <w:lang w:val="et-EE"/>
        </w:rPr>
        <w:t xml:space="preserve">Antud alale on koostatud kaks mürauuringut: </w:t>
      </w:r>
      <w:r w:rsidRPr="007C718D">
        <w:rPr>
          <w:lang w:val="et-EE"/>
        </w:rPr>
        <w:t>Tartu läänepoolse ümbersõidu mürauuring (Elle, 2019)</w:t>
      </w:r>
      <w:r w:rsidRPr="007C718D">
        <w:rPr>
          <w:lang w:val="et-EE"/>
        </w:rPr>
        <w:t xml:space="preserve"> ja </w:t>
      </w:r>
      <w:r w:rsidRPr="007C718D">
        <w:rPr>
          <w:lang w:val="et-EE"/>
        </w:rPr>
        <w:t>Tartu linna välisõhu strateegiline mürakaart</w:t>
      </w:r>
      <w:r w:rsidRPr="007C718D">
        <w:rPr>
          <w:lang w:val="et-EE"/>
        </w:rPr>
        <w:t xml:space="preserve"> (Elle, 2022).</w:t>
      </w:r>
      <w:r w:rsidR="007C718D" w:rsidRPr="007C718D">
        <w:rPr>
          <w:lang w:val="et-EE"/>
        </w:rPr>
        <w:t xml:space="preserve"> Viimase kohaselt</w:t>
      </w:r>
      <w:r w:rsidR="00DE58D8">
        <w:rPr>
          <w:lang w:val="et-EE"/>
        </w:rPr>
        <w:t xml:space="preserve"> (väljavõtted on esitatud ka allpool)</w:t>
      </w:r>
      <w:r w:rsidR="007C718D" w:rsidRPr="007C718D">
        <w:rPr>
          <w:lang w:val="et-EE"/>
        </w:rPr>
        <w:t xml:space="preserve"> on planeeritud elamumaa krundi piiril Aardla tänava poolses küljes müra tase öisel a</w:t>
      </w:r>
      <w:r w:rsidR="007C718D">
        <w:rPr>
          <w:lang w:val="et-EE"/>
        </w:rPr>
        <w:t>j</w:t>
      </w:r>
      <w:r w:rsidR="007C718D" w:rsidRPr="007C718D">
        <w:rPr>
          <w:lang w:val="et-EE"/>
        </w:rPr>
        <w:t>al kuni 55 dB</w:t>
      </w:r>
      <w:r w:rsidR="007C718D">
        <w:rPr>
          <w:lang w:val="et-EE"/>
        </w:rPr>
        <w:t xml:space="preserve"> ja päevasel ajal kuni 60dB, mis mõlemad on kooskõlas liiklusmüra müra piirväärtusega. Krundi sisemusse tuleval õuealal on müra tase madalam, samuti hakkab õueala müra piirama hoone Aardla tänava poolne sein. Määruse kohaselt võivad teepoolsel küljel olla müratasemed 5 dB võrra kõrgemad.</w:t>
      </w:r>
    </w:p>
    <w:p w14:paraId="604274AF" w14:textId="57530366" w:rsidR="007C718D" w:rsidRPr="007C718D" w:rsidRDefault="007C718D" w:rsidP="00780247">
      <w:pPr>
        <w:pStyle w:val="Loendilik"/>
        <w:rPr>
          <w:lang w:val="et-EE"/>
        </w:rPr>
      </w:pPr>
      <w:r w:rsidRPr="007C718D">
        <w:rPr>
          <w:lang w:val="et-EE"/>
        </w:rPr>
        <w:drawing>
          <wp:inline distT="0" distB="0" distL="0" distR="0" wp14:anchorId="37908B5F" wp14:editId="061206B5">
            <wp:extent cx="2971953" cy="2406774"/>
            <wp:effectExtent l="0" t="0" r="0" b="0"/>
            <wp:docPr id="1424519424" name="Pilt 1" descr="Pilt, millel on kujutatud kaart,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19424" name="Pilt 1" descr="Pilt, millel on kujutatud kaart, Plaan&#10;&#10;Kirjeldus on genereeritud automaatselt"/>
                    <pic:cNvPicPr/>
                  </pic:nvPicPr>
                  <pic:blipFill>
                    <a:blip r:embed="rId6"/>
                    <a:stretch>
                      <a:fillRect/>
                    </a:stretch>
                  </pic:blipFill>
                  <pic:spPr>
                    <a:xfrm>
                      <a:off x="0" y="0"/>
                      <a:ext cx="2971953" cy="2406774"/>
                    </a:xfrm>
                    <a:prstGeom prst="rect">
                      <a:avLst/>
                    </a:prstGeom>
                  </pic:spPr>
                </pic:pic>
              </a:graphicData>
            </a:graphic>
          </wp:inline>
        </w:drawing>
      </w:r>
      <w:r w:rsidRPr="007C718D">
        <w:rPr>
          <w:lang w:val="et-EE"/>
        </w:rPr>
        <w:t xml:space="preserve"> </w:t>
      </w:r>
      <w:r w:rsidRPr="007C718D">
        <w:rPr>
          <w:lang w:val="et-EE"/>
        </w:rPr>
        <w:drawing>
          <wp:inline distT="0" distB="0" distL="0" distR="0" wp14:anchorId="26B65385" wp14:editId="1859A476">
            <wp:extent cx="2178812" cy="2405380"/>
            <wp:effectExtent l="0" t="0" r="0" b="0"/>
            <wp:docPr id="1783393922" name="Pilt 1" descr="Pilt, millel on kujutatud tekst, kuvatõmmis, Font,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3922" name="Pilt 1" descr="Pilt, millel on kujutatud tekst, kuvatõmmis, Font, disain&#10;&#10;Kirjeldus on genereeritud automaatselt"/>
                    <pic:cNvPicPr/>
                  </pic:nvPicPr>
                  <pic:blipFill>
                    <a:blip r:embed="rId7"/>
                    <a:stretch>
                      <a:fillRect/>
                    </a:stretch>
                  </pic:blipFill>
                  <pic:spPr>
                    <a:xfrm>
                      <a:off x="0" y="0"/>
                      <a:ext cx="2185486" cy="2412748"/>
                    </a:xfrm>
                    <a:prstGeom prst="rect">
                      <a:avLst/>
                    </a:prstGeom>
                  </pic:spPr>
                </pic:pic>
              </a:graphicData>
            </a:graphic>
          </wp:inline>
        </w:drawing>
      </w:r>
    </w:p>
    <w:p w14:paraId="20FA1613" w14:textId="55115092" w:rsidR="007C718D" w:rsidRDefault="007C718D" w:rsidP="00780247">
      <w:pPr>
        <w:pStyle w:val="Loendilik"/>
        <w:rPr>
          <w:lang w:val="et-EE"/>
        </w:rPr>
      </w:pPr>
      <w:r w:rsidRPr="007C718D">
        <w:rPr>
          <w:lang w:val="et-EE"/>
        </w:rPr>
        <w:lastRenderedPageBreak/>
        <w:drawing>
          <wp:inline distT="0" distB="0" distL="0" distR="0" wp14:anchorId="5B1FB891" wp14:editId="573417F4">
            <wp:extent cx="2991004" cy="2381372"/>
            <wp:effectExtent l="0" t="0" r="0" b="0"/>
            <wp:docPr id="281461575" name="Pilt 1" descr="Pilt, millel on kujutatud kaart&#10;&#10;Kirjeldus on genereeritud automaatselt ja see peaks olema võrdlemisi sob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61575" name="Pilt 1" descr="Pilt, millel on kujutatud kaart&#10;&#10;Kirjeldus on genereeritud automaatselt ja see peaks olema võrdlemisi sobiv"/>
                    <pic:cNvPicPr/>
                  </pic:nvPicPr>
                  <pic:blipFill>
                    <a:blip r:embed="rId8"/>
                    <a:stretch>
                      <a:fillRect/>
                    </a:stretch>
                  </pic:blipFill>
                  <pic:spPr>
                    <a:xfrm>
                      <a:off x="0" y="0"/>
                      <a:ext cx="2991004" cy="2381372"/>
                    </a:xfrm>
                    <a:prstGeom prst="rect">
                      <a:avLst/>
                    </a:prstGeom>
                  </pic:spPr>
                </pic:pic>
              </a:graphicData>
            </a:graphic>
          </wp:inline>
        </w:drawing>
      </w:r>
      <w:r w:rsidRPr="007C718D">
        <w:rPr>
          <w:lang w:val="et-EE"/>
        </w:rPr>
        <w:t xml:space="preserve"> </w:t>
      </w:r>
      <w:r w:rsidRPr="007C718D">
        <w:rPr>
          <w:lang w:val="et-EE"/>
        </w:rPr>
        <w:drawing>
          <wp:inline distT="0" distB="0" distL="0" distR="0" wp14:anchorId="144CD6DF" wp14:editId="166D4BBC">
            <wp:extent cx="2089150" cy="2350295"/>
            <wp:effectExtent l="0" t="0" r="6350" b="0"/>
            <wp:docPr id="387987405" name="Pilt 1" descr="Pilt, millel on kujutatud tekst, kuvatõmmis, Font, Värviku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87405" name="Pilt 1" descr="Pilt, millel on kujutatud tekst, kuvatõmmis, Font, Värvikus&#10;&#10;Kirjeldus on genereeritud automaatselt"/>
                    <pic:cNvPicPr/>
                  </pic:nvPicPr>
                  <pic:blipFill>
                    <a:blip r:embed="rId9"/>
                    <a:stretch>
                      <a:fillRect/>
                    </a:stretch>
                  </pic:blipFill>
                  <pic:spPr>
                    <a:xfrm>
                      <a:off x="0" y="0"/>
                      <a:ext cx="2098864" cy="2361223"/>
                    </a:xfrm>
                    <a:prstGeom prst="rect">
                      <a:avLst/>
                    </a:prstGeom>
                  </pic:spPr>
                </pic:pic>
              </a:graphicData>
            </a:graphic>
          </wp:inline>
        </w:drawing>
      </w:r>
    </w:p>
    <w:p w14:paraId="3E3F187E" w14:textId="1D4C61A2" w:rsidR="00DE58D8" w:rsidRDefault="00DE58D8" w:rsidP="00780247">
      <w:pPr>
        <w:pStyle w:val="Loendilik"/>
        <w:rPr>
          <w:lang w:val="et-EE"/>
        </w:rPr>
      </w:pPr>
      <w:r>
        <w:rPr>
          <w:lang w:val="et-EE"/>
        </w:rPr>
        <w:t>Tööstusmüra</w:t>
      </w:r>
      <w:r w:rsidR="00F937D9">
        <w:rPr>
          <w:lang w:val="et-EE"/>
        </w:rPr>
        <w:t xml:space="preserve"> (vt ka skeemid allpool)</w:t>
      </w:r>
      <w:r>
        <w:rPr>
          <w:lang w:val="et-EE"/>
        </w:rPr>
        <w:t xml:space="preserve"> osas </w:t>
      </w:r>
      <w:r w:rsidR="00F937D9">
        <w:rPr>
          <w:lang w:val="et-EE"/>
        </w:rPr>
        <w:t xml:space="preserve">on </w:t>
      </w:r>
      <w:r>
        <w:rPr>
          <w:lang w:val="et-EE"/>
        </w:rPr>
        <w:t xml:space="preserve">tase öisel ajal krundi piiril kuni 45 dB, väheses osas ulatub 45 dB levik ka krundi sisse. Päevasel </w:t>
      </w:r>
      <w:r w:rsidR="00F937D9">
        <w:rPr>
          <w:lang w:val="et-EE"/>
        </w:rPr>
        <w:t xml:space="preserve">ajal on tase krundi piiril kuni 45 dB ja krundi sisse levikut ei ole. </w:t>
      </w:r>
    </w:p>
    <w:p w14:paraId="432D2C55" w14:textId="338A6DEB" w:rsidR="00DE58D8" w:rsidRDefault="00DE58D8" w:rsidP="00780247">
      <w:pPr>
        <w:pStyle w:val="Loendilik"/>
        <w:rPr>
          <w:lang w:val="et-EE"/>
        </w:rPr>
      </w:pPr>
      <w:r w:rsidRPr="00DE58D8">
        <w:rPr>
          <w:lang w:val="et-EE"/>
        </w:rPr>
        <w:drawing>
          <wp:inline distT="0" distB="0" distL="0" distR="0" wp14:anchorId="100AC5A0" wp14:editId="18526BD0">
            <wp:extent cx="2990850" cy="2365896"/>
            <wp:effectExtent l="0" t="0" r="0" b="0"/>
            <wp:docPr id="1871147585" name="Pilt 1" descr="Pilt, millel on kujutatud Plaan, diagramm, skemaatiline,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47585" name="Pilt 1" descr="Pilt, millel on kujutatud Plaan, diagramm, skemaatiline, tekst&#10;&#10;Kirjeldus on genereeritud automaatselt"/>
                    <pic:cNvPicPr/>
                  </pic:nvPicPr>
                  <pic:blipFill>
                    <a:blip r:embed="rId10"/>
                    <a:stretch>
                      <a:fillRect/>
                    </a:stretch>
                  </pic:blipFill>
                  <pic:spPr>
                    <a:xfrm>
                      <a:off x="0" y="0"/>
                      <a:ext cx="3002938" cy="2375458"/>
                    </a:xfrm>
                    <a:prstGeom prst="rect">
                      <a:avLst/>
                    </a:prstGeom>
                  </pic:spPr>
                </pic:pic>
              </a:graphicData>
            </a:graphic>
          </wp:inline>
        </w:drawing>
      </w:r>
      <w:r>
        <w:rPr>
          <w:lang w:val="et-EE"/>
        </w:rPr>
        <w:t xml:space="preserve"> </w:t>
      </w:r>
      <w:r w:rsidRPr="00DE58D8">
        <w:rPr>
          <w:lang w:val="et-EE"/>
        </w:rPr>
        <w:drawing>
          <wp:inline distT="0" distB="0" distL="0" distR="0" wp14:anchorId="60A7A26A" wp14:editId="64D47E1A">
            <wp:extent cx="2089150" cy="2315992"/>
            <wp:effectExtent l="0" t="0" r="6350" b="8255"/>
            <wp:docPr id="128681358" name="Pilt 1" descr="Pilt, millel on kujutatud tekst, kuvatõmmis,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1358" name="Pilt 1" descr="Pilt, millel on kujutatud tekst, kuvatõmmis, disain&#10;&#10;Kirjeldus on genereeritud automaatselt"/>
                    <pic:cNvPicPr/>
                  </pic:nvPicPr>
                  <pic:blipFill>
                    <a:blip r:embed="rId11"/>
                    <a:stretch>
                      <a:fillRect/>
                    </a:stretch>
                  </pic:blipFill>
                  <pic:spPr>
                    <a:xfrm>
                      <a:off x="0" y="0"/>
                      <a:ext cx="2106944" cy="2335718"/>
                    </a:xfrm>
                    <a:prstGeom prst="rect">
                      <a:avLst/>
                    </a:prstGeom>
                  </pic:spPr>
                </pic:pic>
              </a:graphicData>
            </a:graphic>
          </wp:inline>
        </w:drawing>
      </w:r>
    </w:p>
    <w:p w14:paraId="7D2CF31D" w14:textId="4ADC650C" w:rsidR="00DE58D8" w:rsidRDefault="00DE58D8" w:rsidP="00780247">
      <w:pPr>
        <w:pStyle w:val="Loendilik"/>
        <w:rPr>
          <w:lang w:val="et-EE"/>
        </w:rPr>
      </w:pPr>
      <w:r>
        <w:rPr>
          <w:lang w:val="et-EE"/>
        </w:rPr>
        <w:t xml:space="preserve"> </w:t>
      </w:r>
      <w:r w:rsidRPr="00DE58D8">
        <w:rPr>
          <w:lang w:val="et-EE"/>
        </w:rPr>
        <w:drawing>
          <wp:inline distT="0" distB="0" distL="0" distR="0" wp14:anchorId="0DA75EA1" wp14:editId="540D91D9">
            <wp:extent cx="2962521" cy="2368035"/>
            <wp:effectExtent l="0" t="0" r="9525" b="0"/>
            <wp:docPr id="117949647" name="Pilt 1" descr="Pilt, millel on kujutatud Plaan, diagramm, visand, skemaatili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9647" name="Pilt 1" descr="Pilt, millel on kujutatud Plaan, diagramm, visand, skemaatiline&#10;&#10;Kirjeldus on genereeritud automaatselt"/>
                    <pic:cNvPicPr/>
                  </pic:nvPicPr>
                  <pic:blipFill>
                    <a:blip r:embed="rId12"/>
                    <a:stretch>
                      <a:fillRect/>
                    </a:stretch>
                  </pic:blipFill>
                  <pic:spPr>
                    <a:xfrm>
                      <a:off x="0" y="0"/>
                      <a:ext cx="2977711" cy="2380177"/>
                    </a:xfrm>
                    <a:prstGeom prst="rect">
                      <a:avLst/>
                    </a:prstGeom>
                  </pic:spPr>
                </pic:pic>
              </a:graphicData>
            </a:graphic>
          </wp:inline>
        </w:drawing>
      </w:r>
      <w:r>
        <w:rPr>
          <w:lang w:val="et-EE"/>
        </w:rPr>
        <w:t xml:space="preserve"> </w:t>
      </w:r>
      <w:r w:rsidRPr="00DE58D8">
        <w:rPr>
          <w:lang w:val="et-EE"/>
        </w:rPr>
        <w:drawing>
          <wp:inline distT="0" distB="0" distL="0" distR="0" wp14:anchorId="041D55C7" wp14:editId="657367F9">
            <wp:extent cx="2104180" cy="2347396"/>
            <wp:effectExtent l="0" t="0" r="0" b="0"/>
            <wp:docPr id="1478639727" name="Pilt 1" descr="Pilt, millel on kujutatud tekst, kuvatõmmis,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39727" name="Pilt 1" descr="Pilt, millel on kujutatud tekst, kuvatõmmis, disain&#10;&#10;Kirjeldus on genereeritud automaatselt"/>
                    <pic:cNvPicPr/>
                  </pic:nvPicPr>
                  <pic:blipFill>
                    <a:blip r:embed="rId13"/>
                    <a:stretch>
                      <a:fillRect/>
                    </a:stretch>
                  </pic:blipFill>
                  <pic:spPr>
                    <a:xfrm>
                      <a:off x="0" y="0"/>
                      <a:ext cx="2119958" cy="2364998"/>
                    </a:xfrm>
                    <a:prstGeom prst="rect">
                      <a:avLst/>
                    </a:prstGeom>
                  </pic:spPr>
                </pic:pic>
              </a:graphicData>
            </a:graphic>
          </wp:inline>
        </w:drawing>
      </w:r>
    </w:p>
    <w:p w14:paraId="489AA613" w14:textId="77777777" w:rsidR="00F937D9" w:rsidRDefault="00F937D9" w:rsidP="00780247">
      <w:pPr>
        <w:pStyle w:val="Loendilik"/>
        <w:rPr>
          <w:lang w:val="et-EE"/>
        </w:rPr>
      </w:pPr>
      <w:r>
        <w:rPr>
          <w:lang w:val="et-EE"/>
        </w:rPr>
        <w:t xml:space="preserve">Eeltoodu alusel on olemas veendumus, et elamute ehitamine planeeritud krundile on võimalik ja täiendava modelleeringu tegemine planeeringu koostamisel ei ole vajalik. </w:t>
      </w:r>
    </w:p>
    <w:p w14:paraId="4BBF10A5" w14:textId="18B520FE" w:rsidR="00F937D9" w:rsidRDefault="00F937D9" w:rsidP="00780247">
      <w:pPr>
        <w:pStyle w:val="Loendilik"/>
        <w:rPr>
          <w:lang w:val="et-EE"/>
        </w:rPr>
      </w:pPr>
      <w:r>
        <w:rPr>
          <w:lang w:val="et-EE"/>
        </w:rPr>
        <w:t>Täiendavaid tööstushooneid ei ole planeeringualale ega selle vahetusse naabrusesse planeeritud.</w:t>
      </w:r>
    </w:p>
    <w:p w14:paraId="6A3DC1A8" w14:textId="2AF579B1" w:rsidR="005D5881" w:rsidRDefault="005D5881" w:rsidP="005D5881">
      <w:pPr>
        <w:pStyle w:val="Loendilik"/>
        <w:numPr>
          <w:ilvl w:val="0"/>
          <w:numId w:val="1"/>
        </w:numPr>
        <w:rPr>
          <w:lang w:val="et-EE"/>
        </w:rPr>
      </w:pPr>
      <w:r>
        <w:rPr>
          <w:lang w:val="et-EE"/>
        </w:rPr>
        <w:t xml:space="preserve">Detailplaneeringu koostamisel on põhimõte, et kehtivaid õigusakte ei kirjutata planeeringu seletuskirja sisse. Seetõttu ei olnud ei esitatud eelnõus, ega ei ole ka uuesti </w:t>
      </w:r>
      <w:r>
        <w:rPr>
          <w:lang w:val="et-EE"/>
        </w:rPr>
        <w:lastRenderedPageBreak/>
        <w:t xml:space="preserve">kooskõlastamisele esitatavas eelnõus määrusest välja võetud sisulisi lõike. Kuna omavahel piirneb II kategooria krunt ja kategooriata krunt, siis on edasiste vaidluste huvides täiendatud seletuskirjas sätestatud, et elamumaa krundi piiril tuleb tagada II kategooria müra tase. See on ärimaade omanikele sisendiks edasisel projekteerimisel, kus tuleb ventilatsiooniagregaadid ja muu müra tekitav </w:t>
      </w:r>
      <w:r w:rsidR="0062655E">
        <w:rPr>
          <w:lang w:val="et-EE"/>
        </w:rPr>
        <w:t>projekteerida vastavalt</w:t>
      </w:r>
      <w:r>
        <w:rPr>
          <w:lang w:val="et-EE"/>
        </w:rPr>
        <w:t>.</w:t>
      </w:r>
    </w:p>
    <w:p w14:paraId="141306D3" w14:textId="2C790E44" w:rsidR="00780247" w:rsidRDefault="0062655E" w:rsidP="00780247">
      <w:pPr>
        <w:pStyle w:val="Loendilik"/>
        <w:numPr>
          <w:ilvl w:val="0"/>
          <w:numId w:val="1"/>
        </w:numPr>
        <w:rPr>
          <w:lang w:val="et-EE"/>
        </w:rPr>
      </w:pPr>
      <w:r>
        <w:rPr>
          <w:lang w:val="et-EE"/>
        </w:rPr>
        <w:t>Radooni</w:t>
      </w:r>
      <w:r w:rsidRPr="0062655E">
        <w:rPr>
          <w:lang w:val="et-EE"/>
        </w:rPr>
        <w:t>ohtu ja looduskiirgust minimeeriva</w:t>
      </w:r>
      <w:r>
        <w:rPr>
          <w:lang w:val="et-EE"/>
        </w:rPr>
        <w:t>te meetmete kasutuselevõtu nõue lisati planeeringu seletuskirja. Konkreetsed meetmed määratakse iga hoone projekteerimisel vastavalt hoone kasutamise iseloomule.</w:t>
      </w:r>
    </w:p>
    <w:p w14:paraId="451A0A62" w14:textId="47BE30A1" w:rsidR="002D2DCA" w:rsidRPr="007C718D" w:rsidRDefault="002D2DCA" w:rsidP="00780247">
      <w:pPr>
        <w:pStyle w:val="Loendilik"/>
        <w:numPr>
          <w:ilvl w:val="0"/>
          <w:numId w:val="1"/>
        </w:numPr>
        <w:rPr>
          <w:lang w:val="et-EE"/>
        </w:rPr>
      </w:pPr>
      <w:r>
        <w:rPr>
          <w:lang w:val="et-EE"/>
        </w:rPr>
        <w:t>Seletuskirja lisati ka nõue mitte tekitada valgusreostust.</w:t>
      </w:r>
    </w:p>
    <w:p w14:paraId="3060479F" w14:textId="77777777" w:rsidR="008A156C" w:rsidRPr="007C718D" w:rsidRDefault="008A156C" w:rsidP="008A156C">
      <w:pPr>
        <w:rPr>
          <w:lang w:val="et-EE"/>
        </w:rPr>
      </w:pPr>
    </w:p>
    <w:sectPr w:rsidR="008A156C" w:rsidRPr="007C71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495158"/>
    <w:multiLevelType w:val="hybridMultilevel"/>
    <w:tmpl w:val="B0787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4823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56C"/>
    <w:rsid w:val="000D5986"/>
    <w:rsid w:val="002D2DCA"/>
    <w:rsid w:val="00336CDD"/>
    <w:rsid w:val="005D5881"/>
    <w:rsid w:val="0062655E"/>
    <w:rsid w:val="00780247"/>
    <w:rsid w:val="007C718D"/>
    <w:rsid w:val="008A156C"/>
    <w:rsid w:val="008A1DA1"/>
    <w:rsid w:val="00A84BA3"/>
    <w:rsid w:val="00DE58D8"/>
    <w:rsid w:val="00F93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DC34A"/>
  <w15:chartTrackingRefBased/>
  <w15:docId w15:val="{E0BC20D0-F5F7-4DC0-BCD2-08C53B3FC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8A15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Pealkiri2">
    <w:name w:val="heading 2"/>
    <w:basedOn w:val="Normaallaad"/>
    <w:next w:val="Normaallaad"/>
    <w:link w:val="Pealkiri2Mrk"/>
    <w:uiPriority w:val="9"/>
    <w:semiHidden/>
    <w:unhideWhenUsed/>
    <w:qFormat/>
    <w:rsid w:val="008A15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8A156C"/>
    <w:pPr>
      <w:keepNext/>
      <w:keepLines/>
      <w:spacing w:before="160" w:after="80"/>
      <w:outlineLvl w:val="2"/>
    </w:pPr>
    <w:rPr>
      <w:rFonts w:eastAsiaTheme="majorEastAsia" w:cstheme="majorBidi"/>
      <w:color w:val="2F5496" w:themeColor="accent1" w:themeShade="BF"/>
      <w:sz w:val="28"/>
      <w:szCs w:val="28"/>
    </w:rPr>
  </w:style>
  <w:style w:type="paragraph" w:styleId="Pealkiri4">
    <w:name w:val="heading 4"/>
    <w:basedOn w:val="Normaallaad"/>
    <w:next w:val="Normaallaad"/>
    <w:link w:val="Pealkiri4Mrk"/>
    <w:uiPriority w:val="9"/>
    <w:semiHidden/>
    <w:unhideWhenUsed/>
    <w:qFormat/>
    <w:rsid w:val="008A156C"/>
    <w:pPr>
      <w:keepNext/>
      <w:keepLines/>
      <w:spacing w:before="80" w:after="40"/>
      <w:outlineLvl w:val="3"/>
    </w:pPr>
    <w:rPr>
      <w:rFonts w:eastAsiaTheme="majorEastAsia"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8A156C"/>
    <w:pPr>
      <w:keepNext/>
      <w:keepLines/>
      <w:spacing w:before="80" w:after="40"/>
      <w:outlineLvl w:val="4"/>
    </w:pPr>
    <w:rPr>
      <w:rFonts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8A156C"/>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8A156C"/>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8A156C"/>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8A156C"/>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8A156C"/>
    <w:rPr>
      <w:rFonts w:asciiTheme="majorHAnsi" w:eastAsiaTheme="majorEastAsia" w:hAnsiTheme="majorHAnsi" w:cstheme="majorBidi"/>
      <w:color w:val="2F5496" w:themeColor="accent1" w:themeShade="BF"/>
      <w:sz w:val="40"/>
      <w:szCs w:val="40"/>
    </w:rPr>
  </w:style>
  <w:style w:type="character" w:customStyle="1" w:styleId="Pealkiri2Mrk">
    <w:name w:val="Pealkiri 2 Märk"/>
    <w:basedOn w:val="Liguvaikefont"/>
    <w:link w:val="Pealkiri2"/>
    <w:uiPriority w:val="9"/>
    <w:semiHidden/>
    <w:rsid w:val="008A156C"/>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rsid w:val="008A156C"/>
    <w:rPr>
      <w:rFonts w:eastAsiaTheme="majorEastAsia" w:cstheme="majorBidi"/>
      <w:color w:val="2F5496" w:themeColor="accent1" w:themeShade="BF"/>
      <w:sz w:val="28"/>
      <w:szCs w:val="28"/>
    </w:rPr>
  </w:style>
  <w:style w:type="character" w:customStyle="1" w:styleId="Pealkiri4Mrk">
    <w:name w:val="Pealkiri 4 Märk"/>
    <w:basedOn w:val="Liguvaikefont"/>
    <w:link w:val="Pealkiri4"/>
    <w:uiPriority w:val="9"/>
    <w:semiHidden/>
    <w:rsid w:val="008A156C"/>
    <w:rPr>
      <w:rFonts w:eastAsiaTheme="majorEastAsia" w:cstheme="majorBidi"/>
      <w:i/>
      <w:iCs/>
      <w:color w:val="2F5496" w:themeColor="accent1" w:themeShade="BF"/>
    </w:rPr>
  </w:style>
  <w:style w:type="character" w:customStyle="1" w:styleId="Pealkiri5Mrk">
    <w:name w:val="Pealkiri 5 Märk"/>
    <w:basedOn w:val="Liguvaikefont"/>
    <w:link w:val="Pealkiri5"/>
    <w:uiPriority w:val="9"/>
    <w:semiHidden/>
    <w:rsid w:val="008A156C"/>
    <w:rPr>
      <w:rFonts w:eastAsiaTheme="majorEastAsia" w:cstheme="majorBidi"/>
      <w:color w:val="2F5496" w:themeColor="accent1" w:themeShade="BF"/>
    </w:rPr>
  </w:style>
  <w:style w:type="character" w:customStyle="1" w:styleId="Pealkiri6Mrk">
    <w:name w:val="Pealkiri 6 Märk"/>
    <w:basedOn w:val="Liguvaikefont"/>
    <w:link w:val="Pealkiri6"/>
    <w:uiPriority w:val="9"/>
    <w:semiHidden/>
    <w:rsid w:val="008A156C"/>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8A156C"/>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8A156C"/>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8A156C"/>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8A15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8A156C"/>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8A156C"/>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8A156C"/>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8A156C"/>
    <w:pPr>
      <w:spacing w:before="160"/>
      <w:jc w:val="center"/>
    </w:pPr>
    <w:rPr>
      <w:i/>
      <w:iCs/>
      <w:color w:val="404040" w:themeColor="text1" w:themeTint="BF"/>
    </w:rPr>
  </w:style>
  <w:style w:type="character" w:customStyle="1" w:styleId="TsitaatMrk">
    <w:name w:val="Tsitaat Märk"/>
    <w:basedOn w:val="Liguvaikefont"/>
    <w:link w:val="Tsitaat"/>
    <w:uiPriority w:val="29"/>
    <w:rsid w:val="008A156C"/>
    <w:rPr>
      <w:i/>
      <w:iCs/>
      <w:color w:val="404040" w:themeColor="text1" w:themeTint="BF"/>
    </w:rPr>
  </w:style>
  <w:style w:type="paragraph" w:styleId="Loendilik">
    <w:name w:val="List Paragraph"/>
    <w:basedOn w:val="Normaallaad"/>
    <w:uiPriority w:val="34"/>
    <w:qFormat/>
    <w:rsid w:val="008A156C"/>
    <w:pPr>
      <w:ind w:left="720"/>
      <w:contextualSpacing/>
    </w:pPr>
  </w:style>
  <w:style w:type="character" w:styleId="Selgeltmrgatavrhutus">
    <w:name w:val="Intense Emphasis"/>
    <w:basedOn w:val="Liguvaikefont"/>
    <w:uiPriority w:val="21"/>
    <w:qFormat/>
    <w:rsid w:val="008A156C"/>
    <w:rPr>
      <w:i/>
      <w:iCs/>
      <w:color w:val="2F5496" w:themeColor="accent1" w:themeShade="BF"/>
    </w:rPr>
  </w:style>
  <w:style w:type="paragraph" w:styleId="Selgeltmrgatavtsitaat">
    <w:name w:val="Intense Quote"/>
    <w:basedOn w:val="Normaallaad"/>
    <w:next w:val="Normaallaad"/>
    <w:link w:val="SelgeltmrgatavtsitaatMrk"/>
    <w:uiPriority w:val="30"/>
    <w:qFormat/>
    <w:rsid w:val="008A15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elgeltmrgatavtsitaatMrk">
    <w:name w:val="Selgelt märgatav tsitaat Märk"/>
    <w:basedOn w:val="Liguvaikefont"/>
    <w:link w:val="Selgeltmrgatavtsitaat"/>
    <w:uiPriority w:val="30"/>
    <w:rsid w:val="008A156C"/>
    <w:rPr>
      <w:i/>
      <w:iCs/>
      <w:color w:val="2F5496" w:themeColor="accent1" w:themeShade="BF"/>
    </w:rPr>
  </w:style>
  <w:style w:type="character" w:styleId="Selgeltmrgatavviide">
    <w:name w:val="Intense Reference"/>
    <w:basedOn w:val="Liguvaikefont"/>
    <w:uiPriority w:val="32"/>
    <w:qFormat/>
    <w:rsid w:val="008A156C"/>
    <w:rPr>
      <w:b/>
      <w:bCs/>
      <w:smallCaps/>
      <w:color w:val="2F5496" w:themeColor="accent1" w:themeShade="BF"/>
      <w:spacing w:val="5"/>
    </w:rPr>
  </w:style>
  <w:style w:type="character" w:styleId="Hperlink">
    <w:name w:val="Hyperlink"/>
    <w:basedOn w:val="Liguvaikefont"/>
    <w:uiPriority w:val="99"/>
    <w:unhideWhenUsed/>
    <w:rsid w:val="008A156C"/>
    <w:rPr>
      <w:color w:val="0563C1" w:themeColor="hyperlink"/>
      <w:u w:val="single"/>
    </w:rPr>
  </w:style>
  <w:style w:type="character" w:styleId="Lahendamatamainimine">
    <w:name w:val="Unresolved Mention"/>
    <w:basedOn w:val="Liguvaikefont"/>
    <w:uiPriority w:val="99"/>
    <w:semiHidden/>
    <w:unhideWhenUsed/>
    <w:rsid w:val="008A1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info.raad.tartu.ee/dhs.nsf/gpunid/G73137DFF933F83E9C225833F0041E9BE?OpenDocument"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3</Pages>
  <Words>478</Words>
  <Characters>2726</Characters>
  <Application>Microsoft Office Word</Application>
  <DocSecurity>0</DocSecurity>
  <Lines>22</Lines>
  <Paragraphs>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Heiki Kalberg</dc:creator>
  <cp:keywords/>
  <dc:description/>
  <cp:lastModifiedBy>Heiki Kalberg</cp:lastModifiedBy>
  <cp:revision>1</cp:revision>
  <dcterms:created xsi:type="dcterms:W3CDTF">2024-05-17T11:29:00Z</dcterms:created>
  <dcterms:modified xsi:type="dcterms:W3CDTF">2024-05-17T13:02:00Z</dcterms:modified>
</cp:coreProperties>
</file>